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3FAA7" w14:textId="77777777" w:rsidR="00245123" w:rsidRDefault="00245123" w:rsidP="00E929D9">
      <w:pPr>
        <w:spacing w:after="224"/>
        <w:rPr>
          <w:rFonts w:ascii="Calibri" w:eastAsia="Times New Roman" w:hAnsi="Calibri" w:cs="Calibri"/>
          <w:b/>
          <w:bCs/>
          <w:color w:val="212121"/>
          <w:kern w:val="0"/>
          <w:sz w:val="28"/>
          <w:szCs w:val="28"/>
          <w:lang w:eastAsia="en-GB"/>
          <w14:ligatures w14:val="none"/>
        </w:rPr>
      </w:pPr>
    </w:p>
    <w:p w14:paraId="555BA981" w14:textId="77777777" w:rsidR="00020BB9" w:rsidRDefault="00020BB9" w:rsidP="00E929D9">
      <w:pPr>
        <w:spacing w:after="224"/>
        <w:rPr>
          <w:rFonts w:ascii="Calibri" w:eastAsia="Times New Roman" w:hAnsi="Calibri" w:cs="Calibri"/>
          <w:b/>
          <w:bCs/>
          <w:color w:val="212121"/>
          <w:kern w:val="0"/>
          <w:sz w:val="28"/>
          <w:szCs w:val="28"/>
          <w:lang w:eastAsia="en-GB"/>
          <w14:ligatures w14:val="none"/>
        </w:rPr>
      </w:pPr>
    </w:p>
    <w:p w14:paraId="79968CBA" w14:textId="026BC58D" w:rsidR="00020BB9" w:rsidRPr="00902219" w:rsidRDefault="00020BB9" w:rsidP="00902219">
      <w:pPr>
        <w:pStyle w:val="Heading1"/>
        <w:rPr>
          <w:rFonts w:ascii="Arial Black" w:hAnsi="Arial Black"/>
        </w:rPr>
      </w:pPr>
      <w:r>
        <w:rPr>
          <w:rFonts w:ascii="Arial Black" w:hAnsi="Arial Black"/>
        </w:rPr>
        <w:t xml:space="preserve">Approaches used for SDS Workforce development: Briefing paper </w:t>
      </w:r>
    </w:p>
    <w:p w14:paraId="2D1FF1A8" w14:textId="77777777" w:rsidR="00E929D9" w:rsidRPr="00E929D9" w:rsidRDefault="00E929D9" w:rsidP="00E929D9">
      <w:pPr>
        <w:spacing w:after="180"/>
        <w:rPr>
          <w:rFonts w:ascii="Calibri" w:eastAsia="Times New Roman" w:hAnsi="Calibri" w:cs="Calibri"/>
          <w:color w:val="212121"/>
          <w:kern w:val="0"/>
          <w:sz w:val="22"/>
          <w:szCs w:val="22"/>
          <w:lang w:eastAsia="en-GB"/>
          <w14:ligatures w14:val="none"/>
        </w:rPr>
      </w:pPr>
      <w:r w:rsidRPr="00E929D9">
        <w:rPr>
          <w:rFonts w:ascii="Calibri" w:eastAsia="Times New Roman" w:hAnsi="Calibri" w:cs="Calibri"/>
          <w:color w:val="212121"/>
          <w:kern w:val="0"/>
          <w:sz w:val="22"/>
          <w:szCs w:val="22"/>
          <w:lang w:eastAsia="en-GB"/>
          <w14:ligatures w14:val="none"/>
        </w:rPr>
        <w:t>Prepared for: Social Care Collaborative Board SDS Roundtable</w:t>
      </w:r>
    </w:p>
    <w:p w14:paraId="46A12236" w14:textId="77777777" w:rsidR="00245123" w:rsidRDefault="00E929D9" w:rsidP="00823AE7">
      <w:pPr>
        <w:spacing w:after="180"/>
        <w:rPr>
          <w:rFonts w:ascii="Calibri" w:eastAsia="Times New Roman" w:hAnsi="Calibri" w:cs="Calibri"/>
          <w:color w:val="212121"/>
          <w:kern w:val="0"/>
          <w:sz w:val="22"/>
          <w:szCs w:val="22"/>
          <w:lang w:eastAsia="en-GB"/>
          <w14:ligatures w14:val="none"/>
        </w:rPr>
      </w:pPr>
      <w:r w:rsidRPr="00E929D9">
        <w:rPr>
          <w:rFonts w:ascii="Calibri" w:eastAsia="Times New Roman" w:hAnsi="Calibri" w:cs="Calibri"/>
          <w:color w:val="212121"/>
          <w:kern w:val="0"/>
          <w:sz w:val="22"/>
          <w:szCs w:val="22"/>
          <w:lang w:eastAsia="en-GB"/>
          <w14:ligatures w14:val="none"/>
        </w:rPr>
        <w:t>By: Dr Helga Sneddon</w:t>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r>
        <w:rPr>
          <w:rFonts w:ascii="Calibri" w:eastAsia="Times New Roman" w:hAnsi="Calibri" w:cs="Calibri"/>
          <w:color w:val="212121"/>
          <w:kern w:val="0"/>
          <w:sz w:val="22"/>
          <w:szCs w:val="22"/>
          <w:lang w:eastAsia="en-GB"/>
          <w14:ligatures w14:val="none"/>
        </w:rPr>
        <w:tab/>
      </w:r>
    </w:p>
    <w:p w14:paraId="263FB878" w14:textId="0367F7FC" w:rsidR="00E929D9" w:rsidRDefault="00E929D9" w:rsidP="00823AE7">
      <w:pPr>
        <w:spacing w:after="180"/>
        <w:rPr>
          <w:rFonts w:ascii="Calibri" w:eastAsia="Times New Roman" w:hAnsi="Calibri" w:cs="Calibri"/>
          <w:color w:val="212121"/>
          <w:kern w:val="0"/>
          <w:sz w:val="22"/>
          <w:szCs w:val="22"/>
          <w:lang w:eastAsia="en-GB"/>
          <w14:ligatures w14:val="none"/>
        </w:rPr>
      </w:pPr>
      <w:r w:rsidRPr="00E929D9">
        <w:rPr>
          <w:rFonts w:ascii="Calibri" w:eastAsia="Times New Roman" w:hAnsi="Calibri" w:cs="Calibri"/>
          <w:color w:val="212121"/>
          <w:kern w:val="0"/>
          <w:sz w:val="22"/>
          <w:szCs w:val="22"/>
          <w:lang w:eastAsia="en-GB"/>
          <w14:ligatures w14:val="none"/>
        </w:rPr>
        <w:t>April 2026</w:t>
      </w:r>
    </w:p>
    <w:p w14:paraId="62B0F0F7" w14:textId="77777777" w:rsidR="00823AE7" w:rsidRPr="00823AE7" w:rsidRDefault="00823AE7" w:rsidP="00823AE7">
      <w:pPr>
        <w:spacing w:after="180"/>
        <w:rPr>
          <w:rFonts w:ascii="Calibri" w:eastAsia="Times New Roman" w:hAnsi="Calibri" w:cs="Calibri"/>
          <w:color w:val="212121"/>
          <w:kern w:val="0"/>
          <w:sz w:val="22"/>
          <w:szCs w:val="22"/>
          <w:lang w:eastAsia="en-GB"/>
          <w14:ligatures w14:val="none"/>
        </w:rPr>
      </w:pPr>
    </w:p>
    <w:p w14:paraId="3ECBBE40" w14:textId="1F79FF31" w:rsidR="00E929D9" w:rsidRPr="00E929D9" w:rsidRDefault="00E929D9" w:rsidP="00E929D9">
      <w:pPr>
        <w:pStyle w:val="Heading3"/>
        <w:rPr>
          <w:rFonts w:ascii="Calibri" w:eastAsia="Times New Roman" w:hAnsi="Calibri" w:cs="Calibri"/>
          <w:b/>
          <w:bCs/>
          <w:color w:val="212121"/>
          <w:sz w:val="22"/>
          <w:szCs w:val="22"/>
          <w:lang w:eastAsia="en-GB"/>
        </w:rPr>
      </w:pPr>
      <w:r>
        <w:t>Introduction</w:t>
      </w:r>
    </w:p>
    <w:p w14:paraId="3D195BE3" w14:textId="46A4E400" w:rsidR="003A7A29" w:rsidRPr="000E1686" w:rsidRDefault="003A7A29" w:rsidP="07E91C11">
      <w:pPr>
        <w:rPr>
          <w:rFonts w:ascii="Calibri" w:eastAsiaTheme="minorEastAsia" w:hAnsi="Calibri" w:cs="Times New Roman"/>
          <w:color w:val="111111"/>
          <w:kern w:val="0"/>
          <w:sz w:val="22"/>
          <w:szCs w:val="22"/>
          <w:lang w:eastAsia="en-GB"/>
          <w14:ligatures w14:val="none"/>
        </w:rPr>
      </w:pPr>
      <w:r w:rsidRPr="07E91C11">
        <w:rPr>
          <w:rFonts w:ascii="Calibri" w:eastAsiaTheme="minorEastAsia" w:hAnsi="Calibri" w:cs="Times New Roman"/>
          <w:color w:val="111111"/>
          <w:kern w:val="0"/>
          <w:sz w:val="22"/>
          <w:szCs w:val="22"/>
          <w:lang w:eastAsia="en-GB"/>
          <w14:ligatures w14:val="none"/>
        </w:rPr>
        <w:t xml:space="preserve">In Northern Ireland, Self-Directed Support (SDS) is </w:t>
      </w:r>
      <w:r w:rsidR="0058708A" w:rsidRPr="07E91C11">
        <w:rPr>
          <w:rFonts w:ascii="Calibri" w:eastAsiaTheme="minorEastAsia" w:hAnsi="Calibri" w:cs="Times New Roman"/>
          <w:color w:val="111111"/>
          <w:kern w:val="0"/>
          <w:sz w:val="22"/>
          <w:szCs w:val="22"/>
          <w:lang w:eastAsia="en-GB"/>
          <w14:ligatures w14:val="none"/>
        </w:rPr>
        <w:t>increasingly reflected within wider adult social care reform and policy direction, including work led by the</w:t>
      </w:r>
      <w:r w:rsidRPr="07E91C11">
        <w:rPr>
          <w:rFonts w:ascii="Calibri" w:eastAsiaTheme="minorEastAsia" w:hAnsi="Calibri" w:cs="Times New Roman"/>
          <w:color w:val="111111"/>
          <w:kern w:val="0"/>
          <w:sz w:val="22"/>
          <w:szCs w:val="22"/>
          <w:lang w:eastAsia="en-GB"/>
          <w14:ligatures w14:val="none"/>
        </w:rPr>
        <w:t xml:space="preserve"> Social Care Collaborative Board to </w:t>
      </w:r>
      <w:r w:rsidR="0058708A" w:rsidRPr="07E91C11">
        <w:rPr>
          <w:rFonts w:ascii="Calibri" w:eastAsiaTheme="minorEastAsia" w:hAnsi="Calibri" w:cs="Times New Roman"/>
          <w:color w:val="111111"/>
          <w:kern w:val="0"/>
          <w:sz w:val="22"/>
          <w:szCs w:val="22"/>
          <w:lang w:eastAsia="en-GB"/>
          <w14:ligatures w14:val="none"/>
        </w:rPr>
        <w:t xml:space="preserve">strengthen personalised and outcomes-focused approaches. </w:t>
      </w:r>
    </w:p>
    <w:p w14:paraId="4C2EDE77" w14:textId="77777777" w:rsidR="003A7A29" w:rsidRPr="006C05CA" w:rsidRDefault="003A7A29" w:rsidP="00F5288F">
      <w:pPr>
        <w:spacing w:after="180"/>
        <w:rPr>
          <w:rFonts w:ascii="Calibri" w:eastAsia="Times New Roman" w:hAnsi="Calibri" w:cs="Calibri"/>
          <w:b/>
          <w:bCs/>
          <w:color w:val="212121"/>
          <w:kern w:val="0"/>
          <w:sz w:val="22"/>
          <w:szCs w:val="22"/>
          <w:lang w:eastAsia="en-GB"/>
          <w14:ligatures w14:val="none"/>
        </w:rPr>
      </w:pPr>
    </w:p>
    <w:p w14:paraId="2FC6BE6C" w14:textId="6675D28A" w:rsidR="009200F9" w:rsidRPr="006C05CA" w:rsidRDefault="07E91C11" w:rsidP="6369CF9B">
      <w:pPr>
        <w:pStyle w:val="Heading3"/>
        <w:rPr>
          <w:rFonts w:ascii="Calibri" w:eastAsia="Times New Roman" w:hAnsi="Calibri" w:cs="Calibri"/>
          <w:b/>
          <w:bCs/>
          <w:color w:val="212121"/>
          <w:sz w:val="22"/>
          <w:szCs w:val="22"/>
          <w:lang w:eastAsia="en-GB"/>
        </w:rPr>
      </w:pPr>
      <w:bookmarkStart w:id="0" w:name="_Toc2033555335"/>
      <w:r>
        <w:t>Purpose of this review</w:t>
      </w:r>
      <w:bookmarkEnd w:id="0"/>
    </w:p>
    <w:p w14:paraId="6E9F9938" w14:textId="6314AE08" w:rsidR="008554BA" w:rsidRPr="00E929D9" w:rsidRDefault="008554BA" w:rsidP="008554BA">
      <w:pPr>
        <w:pStyle w:val="p1"/>
        <w:rPr>
          <w:rFonts w:ascii="Calibri" w:hAnsi="Calibri" w:cs="Calibri"/>
          <w:sz w:val="22"/>
          <w:szCs w:val="22"/>
        </w:rPr>
      </w:pPr>
      <w:r w:rsidRPr="00E929D9">
        <w:rPr>
          <w:rFonts w:ascii="Calibri" w:hAnsi="Calibri" w:cs="Calibri"/>
          <w:sz w:val="22"/>
          <w:szCs w:val="22"/>
        </w:rPr>
        <w:t xml:space="preserve">This briefing paper summarises key findings on workforce development for Self-Directed Support (SDS) and their implications for Northern Ireland to inform decision-making at the SDS Roundtable; </w:t>
      </w:r>
      <w:proofErr w:type="gramStart"/>
      <w:r w:rsidRPr="00E929D9">
        <w:rPr>
          <w:rFonts w:ascii="Calibri" w:hAnsi="Calibri" w:cs="Calibri"/>
          <w:sz w:val="22"/>
          <w:szCs w:val="22"/>
        </w:rPr>
        <w:t>a full evidence</w:t>
      </w:r>
      <w:proofErr w:type="gramEnd"/>
      <w:r w:rsidRPr="00E929D9">
        <w:rPr>
          <w:rFonts w:ascii="Calibri" w:hAnsi="Calibri" w:cs="Calibri"/>
          <w:sz w:val="22"/>
          <w:szCs w:val="22"/>
        </w:rPr>
        <w:t xml:space="preserve"> review </w:t>
      </w:r>
      <w:r w:rsidR="00AB443B">
        <w:rPr>
          <w:rFonts w:ascii="Calibri" w:hAnsi="Calibri" w:cs="Calibri"/>
          <w:sz w:val="22"/>
          <w:szCs w:val="22"/>
        </w:rPr>
        <w:t>(</w:t>
      </w:r>
      <w:r w:rsidR="00CA5FE7">
        <w:rPr>
          <w:rFonts w:ascii="Calibri" w:hAnsi="Calibri" w:cs="Calibri"/>
          <w:sz w:val="22"/>
          <w:szCs w:val="22"/>
        </w:rPr>
        <w:t>including</w:t>
      </w:r>
      <w:r w:rsidRPr="00E929D9">
        <w:rPr>
          <w:rFonts w:ascii="Calibri" w:hAnsi="Calibri" w:cs="Calibri"/>
          <w:sz w:val="22"/>
          <w:szCs w:val="22"/>
        </w:rPr>
        <w:t xml:space="preserve"> references</w:t>
      </w:r>
      <w:r w:rsidR="00AB443B">
        <w:rPr>
          <w:rFonts w:ascii="Calibri" w:hAnsi="Calibri" w:cs="Calibri"/>
          <w:sz w:val="22"/>
          <w:szCs w:val="22"/>
        </w:rPr>
        <w:t>)</w:t>
      </w:r>
      <w:r w:rsidRPr="00E929D9">
        <w:rPr>
          <w:rFonts w:ascii="Calibri" w:hAnsi="Calibri" w:cs="Calibri"/>
          <w:sz w:val="22"/>
          <w:szCs w:val="22"/>
        </w:rPr>
        <w:t xml:space="preserve"> is available separately.</w:t>
      </w:r>
    </w:p>
    <w:p w14:paraId="7A509F80" w14:textId="77777777" w:rsidR="008554BA" w:rsidRPr="00E929D9" w:rsidRDefault="008554BA" w:rsidP="00866BD3">
      <w:pPr>
        <w:spacing w:after="180"/>
        <w:rPr>
          <w:rFonts w:ascii="Calibri" w:eastAsia="Times New Roman" w:hAnsi="Calibri" w:cs="Calibri"/>
          <w:color w:val="212121"/>
          <w:kern w:val="0"/>
          <w:sz w:val="22"/>
          <w:szCs w:val="22"/>
          <w:lang w:eastAsia="en-GB"/>
          <w14:ligatures w14:val="none"/>
        </w:rPr>
      </w:pPr>
    </w:p>
    <w:p w14:paraId="6C64F7AC" w14:textId="497AF182" w:rsidR="008554BA" w:rsidRPr="00E929D9" w:rsidRDefault="008554BA" w:rsidP="008554BA">
      <w:pPr>
        <w:pStyle w:val="p1"/>
        <w:rPr>
          <w:rFonts w:ascii="Calibri" w:hAnsi="Calibri" w:cs="Calibri"/>
          <w:sz w:val="22"/>
          <w:szCs w:val="22"/>
        </w:rPr>
      </w:pPr>
      <w:r w:rsidRPr="00E929D9">
        <w:rPr>
          <w:rFonts w:ascii="Calibri" w:hAnsi="Calibri" w:cs="Calibri"/>
          <w:sz w:val="22"/>
          <w:szCs w:val="22"/>
        </w:rPr>
        <w:t>It draws on a rapid review of policy, inspection, research and practice literature from the UK and selected international systems, focusing on evidence relating to workforce development, core competencies and approaches to supporting SDS implementation.</w:t>
      </w:r>
    </w:p>
    <w:p w14:paraId="6373AB38" w14:textId="77777777" w:rsidR="00866BD3" w:rsidRPr="00E929D9" w:rsidRDefault="00866BD3" w:rsidP="00866BD3">
      <w:pPr>
        <w:spacing w:after="180"/>
        <w:rPr>
          <w:rFonts w:ascii="Calibri" w:eastAsia="Times New Roman" w:hAnsi="Calibri" w:cs="Calibri"/>
          <w:color w:val="212121"/>
          <w:kern w:val="0"/>
          <w:sz w:val="22"/>
          <w:szCs w:val="22"/>
          <w:lang w:eastAsia="en-GB"/>
          <w14:ligatures w14:val="none"/>
        </w:rPr>
      </w:pPr>
    </w:p>
    <w:p w14:paraId="09092927" w14:textId="184385DE" w:rsidR="00B96FBA" w:rsidRPr="006C05CA" w:rsidRDefault="07E91C11" w:rsidP="6369CF9B">
      <w:pPr>
        <w:pStyle w:val="Heading3"/>
        <w:rPr>
          <w:rFonts w:ascii="Calibri" w:eastAsia="Times New Roman" w:hAnsi="Calibri" w:cs="Calibri"/>
          <w:b/>
          <w:bCs/>
          <w:color w:val="212121"/>
          <w:sz w:val="22"/>
          <w:szCs w:val="22"/>
          <w:lang w:eastAsia="en-GB"/>
        </w:rPr>
      </w:pPr>
      <w:bookmarkStart w:id="1" w:name="_Toc358770218"/>
      <w:r>
        <w:t xml:space="preserve">Key </w:t>
      </w:r>
      <w:bookmarkEnd w:id="1"/>
      <w:r w:rsidR="006F11DA">
        <w:t>messages</w:t>
      </w:r>
    </w:p>
    <w:p w14:paraId="307E9130" w14:textId="2065CA9E" w:rsidR="003E7ADC" w:rsidRPr="006C05CA" w:rsidRDefault="003E7ADC" w:rsidP="00B96FBA">
      <w:pPr>
        <w:spacing w:after="242"/>
        <w:rPr>
          <w:rFonts w:ascii="Calibri" w:eastAsia="Times New Roman" w:hAnsi="Calibri" w:cs="Calibri"/>
          <w:b/>
          <w:bCs/>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SDS involves important changes to how practitioners undertake their work and engage with families</w:t>
      </w:r>
      <w:r w:rsidR="006605A7" w:rsidRPr="006C05CA">
        <w:rPr>
          <w:rFonts w:ascii="Calibri" w:eastAsia="Times New Roman" w:hAnsi="Calibri" w:cs="Calibri"/>
          <w:color w:val="212121"/>
          <w:kern w:val="0"/>
          <w:sz w:val="22"/>
          <w:szCs w:val="22"/>
          <w:lang w:eastAsia="en-GB"/>
          <w14:ligatures w14:val="none"/>
        </w:rPr>
        <w:t>.</w:t>
      </w:r>
      <w:r w:rsidRPr="006C05CA">
        <w:rPr>
          <w:rFonts w:ascii="Calibri" w:eastAsia="Times New Roman" w:hAnsi="Calibri" w:cs="Calibri"/>
          <w:color w:val="212121"/>
          <w:kern w:val="0"/>
          <w:sz w:val="22"/>
          <w:szCs w:val="22"/>
          <w:lang w:eastAsia="en-GB"/>
          <w14:ligatures w14:val="none"/>
        </w:rPr>
        <w:t xml:space="preserve"> </w:t>
      </w:r>
      <w:r w:rsidR="008554BA">
        <w:rPr>
          <w:rFonts w:ascii="Calibri" w:eastAsia="Times New Roman" w:hAnsi="Calibri" w:cs="Calibri"/>
          <w:color w:val="212121"/>
          <w:kern w:val="0"/>
          <w:sz w:val="22"/>
          <w:szCs w:val="22"/>
          <w:lang w:eastAsia="en-GB"/>
          <w14:ligatures w14:val="none"/>
        </w:rPr>
        <w:t>P</w:t>
      </w:r>
      <w:r w:rsidRPr="006C05CA">
        <w:rPr>
          <w:rFonts w:ascii="Calibri" w:eastAsia="Times New Roman" w:hAnsi="Calibri" w:cs="Calibri"/>
          <w:color w:val="212121"/>
          <w:kern w:val="0"/>
          <w:sz w:val="22"/>
          <w:szCs w:val="22"/>
          <w:lang w:eastAsia="en-GB"/>
          <w14:ligatures w14:val="none"/>
        </w:rPr>
        <w:t xml:space="preserve">ersonalisation and personal budgets </w:t>
      </w:r>
      <w:r w:rsidR="008554BA">
        <w:rPr>
          <w:rFonts w:ascii="Calibri" w:eastAsia="Times New Roman" w:hAnsi="Calibri" w:cs="Calibri"/>
          <w:color w:val="212121"/>
          <w:kern w:val="0"/>
          <w:sz w:val="22"/>
          <w:szCs w:val="22"/>
          <w:lang w:eastAsia="en-GB"/>
          <w14:ligatures w14:val="none"/>
        </w:rPr>
        <w:t>require</w:t>
      </w:r>
      <w:r w:rsidRPr="006C05CA">
        <w:rPr>
          <w:rFonts w:ascii="Calibri" w:eastAsia="Times New Roman" w:hAnsi="Calibri" w:cs="Calibri"/>
          <w:color w:val="212121"/>
          <w:kern w:val="0"/>
          <w:sz w:val="22"/>
          <w:szCs w:val="22"/>
          <w:lang w:eastAsia="en-GB"/>
          <w14:ligatures w14:val="none"/>
        </w:rPr>
        <w:t>:</w:t>
      </w:r>
    </w:p>
    <w:p w14:paraId="0294B50F" w14:textId="46A3B264" w:rsidR="003E7ADC" w:rsidRPr="006C05CA" w:rsidRDefault="003E7ADC" w:rsidP="003E7ADC">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Professionals to work in partnership with individuals and families to design support arrangements</w:t>
      </w:r>
    </w:p>
    <w:p w14:paraId="602EC6E3" w14:textId="10FF7634" w:rsidR="006321CE" w:rsidRPr="006C05CA" w:rsidRDefault="003E7ADC" w:rsidP="006321CE">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Changes in organisational culture and professional roles</w:t>
      </w:r>
    </w:p>
    <w:p w14:paraId="58EE70DA" w14:textId="3366747F" w:rsidR="00405734" w:rsidRPr="006C05CA" w:rsidRDefault="003E7ADC" w:rsidP="00405734">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Strengths-based approaches that focus on individuals’ capabilities and aspirations rather than deficits</w:t>
      </w:r>
    </w:p>
    <w:p w14:paraId="576ABC25" w14:textId="4B92B9DC" w:rsidR="5A466B98" w:rsidRPr="005D09F6" w:rsidRDefault="003E7ADC" w:rsidP="5A466B98">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Identifying and building on community resources. </w:t>
      </w:r>
    </w:p>
    <w:p w14:paraId="4F305568" w14:textId="53D1297A" w:rsidR="00E30F3D" w:rsidRDefault="00E30F3D" w:rsidP="00E72E1D">
      <w:pPr>
        <w:divId w:val="559101410"/>
        <w:rPr>
          <w:rFonts w:ascii="Calibri" w:eastAsiaTheme="minorEastAsia" w:hAnsi="Calibri" w:cs="Times New Roman"/>
          <w:color w:val="111111"/>
          <w:kern w:val="0"/>
          <w:sz w:val="22"/>
          <w:szCs w:val="22"/>
          <w:lang w:eastAsia="en-GB"/>
          <w14:ligatures w14:val="none"/>
        </w:rPr>
      </w:pPr>
      <w:r w:rsidRPr="29FF9FA0">
        <w:rPr>
          <w:rFonts w:ascii="Calibri" w:eastAsiaTheme="minorEastAsia" w:hAnsi="Calibri" w:cs="Times New Roman"/>
          <w:color w:val="111111"/>
          <w:kern w:val="0"/>
          <w:sz w:val="22"/>
          <w:szCs w:val="22"/>
          <w:lang w:eastAsia="en-GB"/>
          <w14:ligatures w14:val="none"/>
        </w:rPr>
        <w:t xml:space="preserve">International networks have </w:t>
      </w:r>
      <w:r w:rsidR="00CA5FE7">
        <w:rPr>
          <w:rFonts w:ascii="Calibri" w:eastAsiaTheme="minorEastAsia" w:hAnsi="Calibri" w:cs="Times New Roman"/>
          <w:color w:val="111111"/>
          <w:kern w:val="0"/>
          <w:sz w:val="22"/>
          <w:szCs w:val="22"/>
          <w:lang w:eastAsia="en-GB"/>
          <w14:ligatures w14:val="none"/>
        </w:rPr>
        <w:t>drawn up</w:t>
      </w:r>
      <w:r w:rsidRPr="29FF9FA0">
        <w:rPr>
          <w:rFonts w:ascii="Calibri" w:eastAsiaTheme="minorEastAsia" w:hAnsi="Calibri" w:cs="Times New Roman"/>
          <w:color w:val="111111"/>
          <w:kern w:val="0"/>
          <w:sz w:val="22"/>
          <w:szCs w:val="22"/>
          <w:lang w:eastAsia="en-GB"/>
          <w14:ligatures w14:val="none"/>
        </w:rPr>
        <w:t xml:space="preserve"> shared principles and standards for Self-Directed Support, including descriptions of good practice that can inform workforce development</w:t>
      </w:r>
      <w:r w:rsidR="00E83BB3" w:rsidRPr="29FF9FA0">
        <w:rPr>
          <w:rFonts w:ascii="Calibri" w:eastAsiaTheme="minorEastAsia" w:hAnsi="Calibri" w:cs="Times New Roman"/>
          <w:color w:val="111111"/>
          <w:kern w:val="0"/>
          <w:sz w:val="22"/>
          <w:szCs w:val="22"/>
          <w:lang w:eastAsia="en-GB"/>
          <w14:ligatures w14:val="none"/>
        </w:rPr>
        <w:t xml:space="preserve">.  For example, the Global SDS Network Standards of Practice set out a clear, values-based framework for delivering SDS that is rooted in human rights, citizenship and independent living.  </w:t>
      </w:r>
      <w:r w:rsidR="008554BA">
        <w:rPr>
          <w:rFonts w:ascii="Calibri" w:eastAsiaTheme="minorEastAsia" w:hAnsi="Calibri" w:cs="Times New Roman"/>
          <w:color w:val="111111"/>
          <w:kern w:val="0"/>
          <w:sz w:val="22"/>
          <w:szCs w:val="22"/>
          <w:lang w:eastAsia="en-GB"/>
          <w14:ligatures w14:val="none"/>
        </w:rPr>
        <w:t>It</w:t>
      </w:r>
      <w:r w:rsidR="00E83BB3" w:rsidRPr="29FF9FA0">
        <w:rPr>
          <w:rFonts w:ascii="Calibri" w:eastAsiaTheme="minorEastAsia" w:hAnsi="Calibri" w:cs="Times New Roman"/>
          <w:color w:val="111111"/>
          <w:kern w:val="0"/>
          <w:sz w:val="22"/>
          <w:szCs w:val="22"/>
          <w:lang w:eastAsia="en-GB"/>
          <w14:ligatures w14:val="none"/>
        </w:rPr>
        <w:t xml:space="preserve"> emphasise</w:t>
      </w:r>
      <w:r w:rsidR="008554BA">
        <w:rPr>
          <w:rFonts w:ascii="Calibri" w:eastAsiaTheme="minorEastAsia" w:hAnsi="Calibri" w:cs="Times New Roman"/>
          <w:color w:val="111111"/>
          <w:kern w:val="0"/>
          <w:sz w:val="22"/>
          <w:szCs w:val="22"/>
          <w:lang w:eastAsia="en-GB"/>
          <w14:ligatures w14:val="none"/>
        </w:rPr>
        <w:t>s</w:t>
      </w:r>
      <w:r w:rsidR="00E83BB3" w:rsidRPr="29FF9FA0">
        <w:rPr>
          <w:rFonts w:ascii="Calibri" w:eastAsiaTheme="minorEastAsia" w:hAnsi="Calibri" w:cs="Times New Roman"/>
          <w:color w:val="111111"/>
          <w:kern w:val="0"/>
          <w:sz w:val="22"/>
          <w:szCs w:val="22"/>
          <w:lang w:eastAsia="en-GB"/>
          <w14:ligatures w14:val="none"/>
        </w:rPr>
        <w:t xml:space="preserve"> that support should be led by the person, with individuals having genuine choice and control over how their lives are organised and how resources are used.</w:t>
      </w:r>
    </w:p>
    <w:p w14:paraId="2605661B" w14:textId="77777777" w:rsidR="00E72E1D" w:rsidRPr="00E72E1D" w:rsidRDefault="00E72E1D" w:rsidP="00E72E1D">
      <w:pPr>
        <w:divId w:val="559101410"/>
        <w:rPr>
          <w:rFonts w:ascii="Calibri" w:eastAsiaTheme="minorEastAsia" w:hAnsi="Calibri" w:cs="Times New Roman"/>
          <w:color w:val="111111"/>
          <w:kern w:val="0"/>
          <w:sz w:val="22"/>
          <w:szCs w:val="22"/>
          <w:lang w:eastAsia="en-GB"/>
          <w14:ligatures w14:val="none"/>
        </w:rPr>
      </w:pPr>
    </w:p>
    <w:p w14:paraId="6919C6E6" w14:textId="7B8675BB" w:rsidR="00291A83" w:rsidRDefault="003B3961" w:rsidP="007B353F">
      <w:pPr>
        <w:spacing w:after="180"/>
        <w:rPr>
          <w:rFonts w:ascii="Calibri" w:eastAsiaTheme="minorEastAsia" w:hAnsi="Calibri" w:cs="Times New Roman"/>
          <w:color w:val="000000"/>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lastRenderedPageBreak/>
        <w:t xml:space="preserve">Evidence from policy frameworks and academic literature highlights several competencies required for effective SDS practice.  Most countries cover these in </w:t>
      </w:r>
      <w:r w:rsidR="00405734" w:rsidRPr="006C05CA">
        <w:rPr>
          <w:rFonts w:ascii="Calibri" w:eastAsia="Times New Roman" w:hAnsi="Calibri" w:cs="Calibri"/>
          <w:color w:val="212121"/>
          <w:kern w:val="0"/>
          <w:sz w:val="22"/>
          <w:szCs w:val="22"/>
          <w:lang w:eastAsia="en-GB"/>
          <w14:ligatures w14:val="none"/>
        </w:rPr>
        <w:t xml:space="preserve">their </w:t>
      </w:r>
      <w:r w:rsidRPr="006C05CA">
        <w:rPr>
          <w:rFonts w:ascii="Calibri" w:eastAsia="Times New Roman" w:hAnsi="Calibri" w:cs="Calibri"/>
          <w:color w:val="212121"/>
          <w:kern w:val="0"/>
          <w:sz w:val="22"/>
          <w:szCs w:val="22"/>
          <w:lang w:eastAsia="en-GB"/>
          <w14:ligatures w14:val="none"/>
        </w:rPr>
        <w:t xml:space="preserve">workforce development </w:t>
      </w:r>
      <w:r w:rsidR="007C423F" w:rsidRPr="006C05CA">
        <w:rPr>
          <w:rFonts w:ascii="Calibri" w:eastAsia="Times New Roman" w:hAnsi="Calibri" w:cs="Calibri"/>
          <w:color w:val="212121"/>
          <w:kern w:val="0"/>
          <w:sz w:val="22"/>
          <w:szCs w:val="22"/>
          <w:lang w:eastAsia="en-GB"/>
          <w14:ligatures w14:val="none"/>
        </w:rPr>
        <w:t xml:space="preserve">approaches.  </w:t>
      </w:r>
      <w:r w:rsidR="00291A83" w:rsidRPr="5A8E7110">
        <w:rPr>
          <w:rFonts w:ascii="Calibri" w:eastAsiaTheme="minorEastAsia" w:hAnsi="Calibri" w:cs="Times New Roman"/>
          <w:color w:val="000000"/>
          <w:kern w:val="0"/>
          <w:sz w:val="22"/>
          <w:szCs w:val="22"/>
          <w:lang w:eastAsia="en-GB"/>
          <w14:ligatures w14:val="none"/>
        </w:rPr>
        <w:t xml:space="preserve">Importantly, these are not purely technical skills. They combine knowledge, values and relational practice, and require practitioners to exercise professional judgement in complex and often uncertain situations. </w:t>
      </w:r>
    </w:p>
    <w:p w14:paraId="6D3631BD" w14:textId="796191E5" w:rsidR="003B3961" w:rsidRPr="006C05CA" w:rsidRDefault="008554BA" w:rsidP="007B353F">
      <w:p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K</w:t>
      </w:r>
      <w:r w:rsidR="003B3961" w:rsidRPr="006C05CA">
        <w:rPr>
          <w:rFonts w:ascii="Calibri" w:eastAsia="Times New Roman" w:hAnsi="Calibri" w:cs="Calibri"/>
          <w:color w:val="212121"/>
          <w:kern w:val="0"/>
          <w:sz w:val="22"/>
          <w:szCs w:val="22"/>
          <w:lang w:eastAsia="en-GB"/>
          <w14:ligatures w14:val="none"/>
        </w:rPr>
        <w:t>ey competencies include:</w:t>
      </w:r>
    </w:p>
    <w:p w14:paraId="71A7D730" w14:textId="2AB1357A" w:rsidR="00E83BB3" w:rsidRDefault="005D09F6" w:rsidP="007B353F">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P</w:t>
      </w:r>
      <w:r w:rsidR="003B3961" w:rsidRPr="00E83BB3">
        <w:rPr>
          <w:rFonts w:ascii="Calibri" w:eastAsia="Times New Roman" w:hAnsi="Calibri" w:cs="Calibri"/>
          <w:color w:val="212121"/>
          <w:kern w:val="0"/>
          <w:sz w:val="22"/>
          <w:szCs w:val="22"/>
          <w:lang w:eastAsia="en-GB"/>
          <w14:ligatures w14:val="none"/>
        </w:rPr>
        <w:t>erson-centred communication</w:t>
      </w:r>
    </w:p>
    <w:p w14:paraId="32985397" w14:textId="718F8A15" w:rsidR="00E83BB3" w:rsidRDefault="005D09F6" w:rsidP="007B353F">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S</w:t>
      </w:r>
      <w:r w:rsidR="003B3961" w:rsidRPr="00E83BB3">
        <w:rPr>
          <w:rFonts w:ascii="Calibri" w:eastAsia="Times New Roman" w:hAnsi="Calibri" w:cs="Calibri"/>
          <w:color w:val="212121"/>
          <w:kern w:val="0"/>
          <w:sz w:val="22"/>
          <w:szCs w:val="22"/>
          <w:lang w:eastAsia="en-GB"/>
          <w14:ligatures w14:val="none"/>
        </w:rPr>
        <w:t>trengths-based assessmen</w:t>
      </w:r>
      <w:r>
        <w:rPr>
          <w:rFonts w:ascii="Calibri" w:eastAsia="Times New Roman" w:hAnsi="Calibri" w:cs="Calibri"/>
          <w:color w:val="212121"/>
          <w:kern w:val="0"/>
          <w:sz w:val="22"/>
          <w:szCs w:val="22"/>
          <w:lang w:eastAsia="en-GB"/>
          <w14:ligatures w14:val="none"/>
        </w:rPr>
        <w:t>t</w:t>
      </w:r>
    </w:p>
    <w:p w14:paraId="03E3D3A1" w14:textId="0E9A1397" w:rsidR="008554BA" w:rsidRPr="008554BA" w:rsidRDefault="008554BA" w:rsidP="008554BA">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S</w:t>
      </w:r>
      <w:r w:rsidR="003B3961" w:rsidRPr="00E83BB3">
        <w:rPr>
          <w:rFonts w:ascii="Calibri" w:eastAsia="Times New Roman" w:hAnsi="Calibri" w:cs="Calibri"/>
          <w:color w:val="212121"/>
          <w:kern w:val="0"/>
          <w:sz w:val="22"/>
          <w:szCs w:val="22"/>
          <w:lang w:eastAsia="en-GB"/>
          <w14:ligatures w14:val="none"/>
        </w:rPr>
        <w:t>upport planning</w:t>
      </w:r>
      <w:r>
        <w:rPr>
          <w:rFonts w:ascii="Calibri" w:eastAsia="Times New Roman" w:hAnsi="Calibri" w:cs="Calibri"/>
          <w:color w:val="212121"/>
          <w:kern w:val="0"/>
          <w:sz w:val="22"/>
          <w:szCs w:val="22"/>
          <w:lang w:eastAsia="en-GB"/>
          <w14:ligatures w14:val="none"/>
        </w:rPr>
        <w:t xml:space="preserve"> that is collaborative, flexible and </w:t>
      </w:r>
      <w:r w:rsidRPr="008554BA">
        <w:rPr>
          <w:rFonts w:ascii="Calibri" w:eastAsia="Times New Roman" w:hAnsi="Calibri" w:cs="Calibri"/>
          <w:color w:val="212121"/>
          <w:kern w:val="0"/>
          <w:sz w:val="22"/>
          <w:szCs w:val="22"/>
          <w:lang w:eastAsia="en-GB"/>
          <w14:ligatures w14:val="none"/>
        </w:rPr>
        <w:t xml:space="preserve">outcome-focused </w:t>
      </w:r>
    </w:p>
    <w:p w14:paraId="03B52CE6" w14:textId="7F5DB1E4" w:rsidR="00E83BB3" w:rsidRDefault="005D09F6" w:rsidP="007B353F">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U</w:t>
      </w:r>
      <w:r w:rsidR="003B3961" w:rsidRPr="00E83BB3">
        <w:rPr>
          <w:rFonts w:ascii="Calibri" w:eastAsia="Times New Roman" w:hAnsi="Calibri" w:cs="Calibri"/>
          <w:color w:val="212121"/>
          <w:kern w:val="0"/>
          <w:sz w:val="22"/>
          <w:szCs w:val="22"/>
          <w:lang w:eastAsia="en-GB"/>
          <w14:ligatures w14:val="none"/>
        </w:rPr>
        <w:t xml:space="preserve">nderstanding </w:t>
      </w:r>
      <w:r w:rsidR="008554BA">
        <w:rPr>
          <w:rFonts w:ascii="Calibri" w:eastAsia="Times New Roman" w:hAnsi="Calibri" w:cs="Calibri"/>
          <w:color w:val="212121"/>
          <w:kern w:val="0"/>
          <w:sz w:val="22"/>
          <w:szCs w:val="22"/>
          <w:lang w:eastAsia="en-GB"/>
          <w14:ligatures w14:val="none"/>
        </w:rPr>
        <w:t xml:space="preserve">of </w:t>
      </w:r>
      <w:r w:rsidR="003B3961" w:rsidRPr="00E83BB3">
        <w:rPr>
          <w:rFonts w:ascii="Calibri" w:eastAsia="Times New Roman" w:hAnsi="Calibri" w:cs="Calibri"/>
          <w:color w:val="212121"/>
          <w:kern w:val="0"/>
          <w:sz w:val="22"/>
          <w:szCs w:val="22"/>
          <w:lang w:eastAsia="en-GB"/>
          <w14:ligatures w14:val="none"/>
        </w:rPr>
        <w:t>SDS</w:t>
      </w:r>
      <w:r w:rsidR="008554BA">
        <w:rPr>
          <w:rFonts w:ascii="Calibri" w:eastAsia="Times New Roman" w:hAnsi="Calibri" w:cs="Calibri"/>
          <w:color w:val="212121"/>
          <w:kern w:val="0"/>
          <w:sz w:val="22"/>
          <w:szCs w:val="22"/>
          <w:lang w:eastAsia="en-GB"/>
          <w14:ligatures w14:val="none"/>
        </w:rPr>
        <w:t xml:space="preserve"> options and</w:t>
      </w:r>
      <w:r w:rsidR="003B3961" w:rsidRPr="00E83BB3">
        <w:rPr>
          <w:rFonts w:ascii="Calibri" w:eastAsia="Times New Roman" w:hAnsi="Calibri" w:cs="Calibri"/>
          <w:color w:val="212121"/>
          <w:kern w:val="0"/>
          <w:sz w:val="22"/>
          <w:szCs w:val="22"/>
          <w:lang w:eastAsia="en-GB"/>
          <w14:ligatures w14:val="none"/>
        </w:rPr>
        <w:t xml:space="preserve"> funding arrangements</w:t>
      </w:r>
    </w:p>
    <w:p w14:paraId="7267AE63" w14:textId="77777777" w:rsidR="00052F15" w:rsidRDefault="005D09F6" w:rsidP="00052F15">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R</w:t>
      </w:r>
      <w:r w:rsidR="003B3961" w:rsidRPr="00E83BB3">
        <w:rPr>
          <w:rFonts w:ascii="Calibri" w:eastAsia="Times New Roman" w:hAnsi="Calibri" w:cs="Calibri"/>
          <w:color w:val="212121"/>
          <w:kern w:val="0"/>
          <w:sz w:val="22"/>
          <w:szCs w:val="22"/>
          <w:lang w:eastAsia="en-GB"/>
          <w14:ligatures w14:val="none"/>
        </w:rPr>
        <w:t>isk enablement and safeguardin</w:t>
      </w:r>
      <w:r>
        <w:rPr>
          <w:rFonts w:ascii="Calibri" w:eastAsia="Times New Roman" w:hAnsi="Calibri" w:cs="Calibri"/>
          <w:color w:val="212121"/>
          <w:kern w:val="0"/>
          <w:sz w:val="22"/>
          <w:szCs w:val="22"/>
          <w:lang w:eastAsia="en-GB"/>
          <w14:ligatures w14:val="none"/>
        </w:rPr>
        <w:t>g</w:t>
      </w:r>
    </w:p>
    <w:p w14:paraId="3FD70659" w14:textId="1C6BE61D" w:rsidR="00E83BB3" w:rsidRPr="00052F15" w:rsidRDefault="005D09F6" w:rsidP="00052F15">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052F15">
        <w:rPr>
          <w:rFonts w:ascii="Calibri" w:eastAsia="Times New Roman" w:hAnsi="Calibri" w:cs="Calibri"/>
          <w:color w:val="212121"/>
          <w:kern w:val="0"/>
          <w:sz w:val="22"/>
          <w:szCs w:val="22"/>
          <w:lang w:eastAsia="en-GB"/>
          <w14:ligatures w14:val="none"/>
        </w:rPr>
        <w:t>P</w:t>
      </w:r>
      <w:r w:rsidR="003B3961" w:rsidRPr="00052F15">
        <w:rPr>
          <w:rFonts w:ascii="Calibri" w:eastAsia="Times New Roman" w:hAnsi="Calibri" w:cs="Calibri"/>
          <w:color w:val="212121"/>
          <w:kern w:val="0"/>
          <w:sz w:val="22"/>
          <w:szCs w:val="22"/>
          <w:lang w:eastAsia="en-GB"/>
          <w14:ligatures w14:val="none"/>
        </w:rPr>
        <w:t>artnership working with families and communities</w:t>
      </w:r>
    </w:p>
    <w:p w14:paraId="544145B5" w14:textId="7C8FEA2D" w:rsidR="00E83BB3" w:rsidRDefault="005D09F6" w:rsidP="007B353F">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R</w:t>
      </w:r>
      <w:r w:rsidR="003B3961" w:rsidRPr="00E83BB3">
        <w:rPr>
          <w:rFonts w:ascii="Calibri" w:eastAsia="Times New Roman" w:hAnsi="Calibri" w:cs="Calibri"/>
          <w:color w:val="212121"/>
          <w:kern w:val="0"/>
          <w:sz w:val="22"/>
          <w:szCs w:val="22"/>
          <w:lang w:eastAsia="en-GB"/>
          <w14:ligatures w14:val="none"/>
        </w:rPr>
        <w:t>eflective practice and continuous learning</w:t>
      </w:r>
      <w:r w:rsidR="00E929D9">
        <w:rPr>
          <w:rFonts w:ascii="Calibri" w:eastAsia="Times New Roman" w:hAnsi="Calibri" w:cs="Calibri"/>
          <w:color w:val="212121"/>
          <w:kern w:val="0"/>
          <w:sz w:val="22"/>
          <w:szCs w:val="22"/>
          <w:lang w:eastAsia="en-GB"/>
          <w14:ligatures w14:val="none"/>
        </w:rPr>
        <w:t>.</w:t>
      </w:r>
    </w:p>
    <w:p w14:paraId="0CE45F98" w14:textId="788E63A3" w:rsidR="008554BA" w:rsidRDefault="00E72E1D" w:rsidP="00E72E1D">
      <w:pPr>
        <w:pStyle w:val="p1"/>
        <w:rPr>
          <w:rFonts w:ascii="Calibri" w:eastAsia="Times New Roman" w:hAnsi="Calibri" w:cs="Calibri"/>
          <w:color w:val="212121"/>
          <w:sz w:val="22"/>
          <w:szCs w:val="22"/>
        </w:rPr>
      </w:pPr>
      <w:r w:rsidRPr="006F11DA">
        <w:rPr>
          <w:rFonts w:ascii="Calibri" w:eastAsia="Times New Roman" w:hAnsi="Calibri" w:cs="Calibri"/>
          <w:color w:val="212121"/>
          <w:sz w:val="22"/>
          <w:szCs w:val="22"/>
        </w:rPr>
        <w:t xml:space="preserve">Developing these key competencies enables practitioners to translate SDS principles into everyday practice.  </w:t>
      </w:r>
      <w:r>
        <w:rPr>
          <w:rFonts w:ascii="Calibri" w:eastAsia="Times New Roman" w:hAnsi="Calibri" w:cs="Calibri"/>
          <w:color w:val="212121"/>
          <w:sz w:val="22"/>
          <w:szCs w:val="22"/>
        </w:rPr>
        <w:t xml:space="preserve">SDS </w:t>
      </w:r>
      <w:r w:rsidR="008554BA">
        <w:rPr>
          <w:rFonts w:ascii="Calibri" w:eastAsia="Times New Roman" w:hAnsi="Calibri" w:cs="Calibri"/>
          <w:color w:val="212121"/>
          <w:sz w:val="22"/>
          <w:szCs w:val="22"/>
        </w:rPr>
        <w:t xml:space="preserve">also requires supportive environments </w:t>
      </w:r>
      <w:r w:rsidR="000E70F6">
        <w:rPr>
          <w:rFonts w:ascii="Calibri" w:eastAsia="Times New Roman" w:hAnsi="Calibri" w:cs="Calibri"/>
          <w:color w:val="212121"/>
          <w:sz w:val="22"/>
          <w:szCs w:val="22"/>
        </w:rPr>
        <w:t>that</w:t>
      </w:r>
      <w:r w:rsidR="008554BA">
        <w:rPr>
          <w:rFonts w:ascii="Calibri" w:eastAsia="Times New Roman" w:hAnsi="Calibri" w:cs="Calibri"/>
          <w:color w:val="212121"/>
          <w:sz w:val="22"/>
          <w:szCs w:val="22"/>
        </w:rPr>
        <w:t xml:space="preserve"> include:</w:t>
      </w:r>
    </w:p>
    <w:p w14:paraId="73945049" w14:textId="432484F5" w:rsidR="008554BA" w:rsidRPr="008554BA" w:rsidRDefault="008554BA" w:rsidP="008554BA">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O</w:t>
      </w:r>
      <w:r w:rsidRPr="008554BA">
        <w:rPr>
          <w:rFonts w:ascii="Calibri" w:eastAsia="Times New Roman" w:hAnsi="Calibri" w:cs="Calibri"/>
          <w:color w:val="212121"/>
          <w:kern w:val="0"/>
          <w:sz w:val="22"/>
          <w:szCs w:val="22"/>
          <w:lang w:eastAsia="en-GB"/>
          <w14:ligatures w14:val="none"/>
        </w:rPr>
        <w:t xml:space="preserve">rganisational support for risk enablement and professional judgement </w:t>
      </w:r>
    </w:p>
    <w:p w14:paraId="0D2E61B1" w14:textId="34C4F4E5" w:rsidR="000E70F6" w:rsidRPr="00E929D9" w:rsidRDefault="008554BA"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Leadership and supervision structures that support continuous learning and improvement.</w:t>
      </w:r>
    </w:p>
    <w:p w14:paraId="28E49D81" w14:textId="6EC4992D" w:rsidR="005D09F6" w:rsidRDefault="000E70F6" w:rsidP="000E70F6">
      <w:pPr>
        <w:pStyle w:val="p1"/>
        <w:divId w:val="105468089"/>
        <w:rPr>
          <w:rFonts w:ascii="Calibri" w:eastAsia="Times New Roman" w:hAnsi="Calibri" w:cs="Calibri"/>
          <w:color w:val="212121"/>
          <w:sz w:val="22"/>
          <w:szCs w:val="22"/>
        </w:rPr>
      </w:pPr>
      <w:r w:rsidRPr="00A3703E">
        <w:rPr>
          <w:rFonts w:ascii="Calibri" w:eastAsia="Times New Roman" w:hAnsi="Calibri" w:cs="Calibri"/>
          <w:sz w:val="22"/>
          <w:szCs w:val="22"/>
        </w:rPr>
        <w:t xml:space="preserve">These capabilities come together most clearly in person-centred support planning. This appears to be one of the main ways </w:t>
      </w:r>
      <w:r w:rsidR="00052F15">
        <w:rPr>
          <w:rFonts w:ascii="Calibri" w:eastAsia="Times New Roman" w:hAnsi="Calibri" w:cs="Calibri"/>
          <w:sz w:val="22"/>
          <w:szCs w:val="22"/>
        </w:rPr>
        <w:t xml:space="preserve">that </w:t>
      </w:r>
      <w:r w:rsidRPr="00A3703E">
        <w:rPr>
          <w:rFonts w:ascii="Calibri" w:eastAsia="Times New Roman" w:hAnsi="Calibri" w:cs="Calibri"/>
          <w:sz w:val="22"/>
          <w:szCs w:val="22"/>
        </w:rPr>
        <w:t xml:space="preserve">SDS leads to better outcomes. </w:t>
      </w:r>
      <w:r w:rsidRPr="006F11DA">
        <w:rPr>
          <w:rFonts w:ascii="Calibri" w:eastAsia="Times New Roman" w:hAnsi="Calibri" w:cs="Calibri"/>
          <w:color w:val="212121"/>
          <w:sz w:val="22"/>
          <w:szCs w:val="22"/>
        </w:rPr>
        <w:t xml:space="preserve">Although the strength and consistency of evidence </w:t>
      </w:r>
      <w:r w:rsidR="006F11DA" w:rsidRPr="006F11DA">
        <w:rPr>
          <w:rFonts w:ascii="Calibri" w:eastAsia="Times New Roman" w:hAnsi="Calibri" w:cs="Calibri"/>
          <w:color w:val="212121"/>
          <w:sz w:val="22"/>
          <w:szCs w:val="22"/>
        </w:rPr>
        <w:t>vary</w:t>
      </w:r>
      <w:r w:rsidRPr="006F11DA">
        <w:rPr>
          <w:rFonts w:ascii="Calibri" w:eastAsia="Times New Roman" w:hAnsi="Calibri" w:cs="Calibri"/>
          <w:color w:val="212121"/>
          <w:sz w:val="22"/>
          <w:szCs w:val="22"/>
        </w:rPr>
        <w:t xml:space="preserve"> across studies and contexts, w</w:t>
      </w:r>
      <w:r w:rsidRPr="00A3703E">
        <w:rPr>
          <w:rFonts w:ascii="Calibri" w:eastAsia="Times New Roman" w:hAnsi="Calibri" w:cs="Calibri"/>
          <w:sz w:val="22"/>
          <w:szCs w:val="22"/>
        </w:rPr>
        <w:t xml:space="preserve">hen planning is based on what matters to the person, builds on strengths and supports flexible arrangements, people </w:t>
      </w:r>
      <w:r w:rsidRPr="006F11DA">
        <w:rPr>
          <w:rFonts w:ascii="Calibri" w:eastAsia="Times New Roman" w:hAnsi="Calibri" w:cs="Calibri"/>
          <w:sz w:val="22"/>
          <w:szCs w:val="22"/>
        </w:rPr>
        <w:t>appear</w:t>
      </w:r>
      <w:r w:rsidRPr="00A3703E">
        <w:rPr>
          <w:rFonts w:ascii="Calibri" w:eastAsia="Times New Roman" w:hAnsi="Calibri" w:cs="Calibri"/>
          <w:sz w:val="22"/>
          <w:szCs w:val="22"/>
        </w:rPr>
        <w:t xml:space="preserve"> more likely to experience choice, control, independence and community participation. When planning is more </w:t>
      </w:r>
      <w:r w:rsidR="006F11DA" w:rsidRPr="00A3703E">
        <w:rPr>
          <w:rFonts w:ascii="Calibri" w:eastAsia="Times New Roman" w:hAnsi="Calibri" w:cs="Calibri"/>
          <w:sz w:val="22"/>
          <w:szCs w:val="22"/>
        </w:rPr>
        <w:t>service led</w:t>
      </w:r>
      <w:r w:rsidRPr="00A3703E">
        <w:rPr>
          <w:rFonts w:ascii="Calibri" w:eastAsia="Times New Roman" w:hAnsi="Calibri" w:cs="Calibri"/>
          <w:sz w:val="22"/>
          <w:szCs w:val="22"/>
        </w:rPr>
        <w:t xml:space="preserve">, these outcomes </w:t>
      </w:r>
      <w:r w:rsidR="00823AE7">
        <w:rPr>
          <w:rFonts w:ascii="Calibri" w:eastAsia="Times New Roman" w:hAnsi="Calibri" w:cs="Calibri"/>
          <w:sz w:val="22"/>
          <w:szCs w:val="22"/>
        </w:rPr>
        <w:t>appear</w:t>
      </w:r>
      <w:r w:rsidRPr="00A3703E">
        <w:rPr>
          <w:rFonts w:ascii="Calibri" w:eastAsia="Times New Roman" w:hAnsi="Calibri" w:cs="Calibri"/>
          <w:sz w:val="22"/>
          <w:szCs w:val="22"/>
        </w:rPr>
        <w:t xml:space="preserve"> less likely.</w:t>
      </w:r>
      <w:r w:rsidRPr="006F11DA">
        <w:rPr>
          <w:rFonts w:ascii="Calibri" w:eastAsia="Times New Roman" w:hAnsi="Calibri" w:cs="Calibri"/>
          <w:color w:val="212121"/>
          <w:sz w:val="22"/>
          <w:szCs w:val="22"/>
        </w:rPr>
        <w:t xml:space="preserve"> </w:t>
      </w:r>
    </w:p>
    <w:p w14:paraId="7C0EF381" w14:textId="77777777" w:rsidR="006F11DA" w:rsidRPr="006F11DA" w:rsidRDefault="006F11DA" w:rsidP="000E70F6">
      <w:pPr>
        <w:pStyle w:val="p1"/>
        <w:divId w:val="105468089"/>
        <w:rPr>
          <w:rFonts w:ascii="Calibri" w:eastAsia="Times New Roman" w:hAnsi="Calibri" w:cs="Calibri"/>
          <w:color w:val="212121"/>
          <w:sz w:val="22"/>
          <w:szCs w:val="22"/>
        </w:rPr>
      </w:pPr>
    </w:p>
    <w:p w14:paraId="5C2C8920" w14:textId="7FA33D99" w:rsidR="003D2C97" w:rsidRPr="006F11DA" w:rsidRDefault="00665155" w:rsidP="007B353F">
      <w:pPr>
        <w:spacing w:after="180"/>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 xml:space="preserve">In terms of the shift in practice that SDS requires, </w:t>
      </w:r>
      <w:r w:rsidR="00823AE7">
        <w:rPr>
          <w:rFonts w:ascii="Calibri" w:eastAsia="Times New Roman" w:hAnsi="Calibri" w:cs="Calibri"/>
          <w:color w:val="212121"/>
          <w:kern w:val="0"/>
          <w:sz w:val="22"/>
          <w:szCs w:val="22"/>
          <w:lang w:eastAsia="en-GB"/>
          <w14:ligatures w14:val="none"/>
        </w:rPr>
        <w:t>common</w:t>
      </w:r>
      <w:r w:rsidR="00DB2637" w:rsidRPr="006F11DA">
        <w:rPr>
          <w:rFonts w:ascii="Calibri" w:eastAsia="Times New Roman" w:hAnsi="Calibri" w:cs="Calibri"/>
          <w:color w:val="212121"/>
          <w:kern w:val="0"/>
          <w:sz w:val="22"/>
          <w:szCs w:val="22"/>
          <w:lang w:eastAsia="en-GB"/>
          <w14:ligatures w14:val="none"/>
        </w:rPr>
        <w:t xml:space="preserve"> themes emerge</w:t>
      </w:r>
      <w:r w:rsidRPr="006F11DA">
        <w:rPr>
          <w:rFonts w:ascii="Calibri" w:eastAsia="Times New Roman" w:hAnsi="Calibri" w:cs="Calibri"/>
          <w:color w:val="212121"/>
          <w:kern w:val="0"/>
          <w:sz w:val="22"/>
          <w:szCs w:val="22"/>
          <w:lang w:eastAsia="en-GB"/>
          <w14:ligatures w14:val="none"/>
        </w:rPr>
        <w:t xml:space="preserve"> across countries</w:t>
      </w:r>
      <w:r w:rsidR="003D2C97" w:rsidRPr="006F11DA">
        <w:rPr>
          <w:rFonts w:ascii="Calibri" w:eastAsia="Times New Roman" w:hAnsi="Calibri" w:cs="Calibri"/>
          <w:color w:val="212121"/>
          <w:kern w:val="0"/>
          <w:sz w:val="22"/>
          <w:szCs w:val="22"/>
          <w:lang w:eastAsia="en-GB"/>
          <w14:ligatures w14:val="none"/>
        </w:rPr>
        <w:t>:</w:t>
      </w:r>
    </w:p>
    <w:p w14:paraId="33956C43" w14:textId="4FC4AC08" w:rsidR="003D2C97" w:rsidRPr="006F11DA" w:rsidRDefault="003D2C97" w:rsidP="003D2C97">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SDS requires both skill development and cultural change</w:t>
      </w:r>
    </w:p>
    <w:p w14:paraId="066725CD" w14:textId="4442BFCB" w:rsidR="003D2C97" w:rsidRPr="006F11DA" w:rsidRDefault="003D2C97" w:rsidP="003D2C97">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Workforce capability must extend beyond practitioners to include managers, leaders and system actors</w:t>
      </w:r>
    </w:p>
    <w:p w14:paraId="3E21ECAF" w14:textId="347F21A6" w:rsidR="003D2C97" w:rsidRPr="006F11DA" w:rsidRDefault="003D2C97" w:rsidP="003D2C97">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Independent support and navigation are important components of effective systems</w:t>
      </w:r>
    </w:p>
    <w:p w14:paraId="3681CCCB" w14:textId="03A3F3B0" w:rsidR="003D2C97" w:rsidRPr="006F11DA" w:rsidRDefault="003D2C97" w:rsidP="003D2C97">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Workforce development is most effective when aligned with standards, supervision and system processes</w:t>
      </w:r>
      <w:r w:rsidR="00026DE5">
        <w:rPr>
          <w:rFonts w:ascii="Calibri" w:eastAsia="Times New Roman" w:hAnsi="Calibri" w:cs="Calibri"/>
          <w:color w:val="212121"/>
          <w:kern w:val="0"/>
          <w:sz w:val="22"/>
          <w:szCs w:val="22"/>
          <w:lang w:eastAsia="en-GB"/>
          <w14:ligatures w14:val="none"/>
        </w:rPr>
        <w:t>, and approaches are informed by lived experience</w:t>
      </w:r>
    </w:p>
    <w:p w14:paraId="28AD7262" w14:textId="383679BE" w:rsidR="000E70F6" w:rsidRDefault="003D2C97"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Capability frameworks and structured approaches help support consistency and sustainability</w:t>
      </w:r>
      <w:r w:rsidR="00C24882" w:rsidRPr="006F11DA">
        <w:rPr>
          <w:rFonts w:ascii="Calibri" w:eastAsia="Times New Roman" w:hAnsi="Calibri" w:cs="Calibri"/>
          <w:color w:val="212121"/>
          <w:kern w:val="0"/>
          <w:sz w:val="22"/>
          <w:szCs w:val="22"/>
          <w:lang w:eastAsia="en-GB"/>
          <w14:ligatures w14:val="none"/>
        </w:rPr>
        <w:t>.</w:t>
      </w:r>
    </w:p>
    <w:p w14:paraId="398CCC8E" w14:textId="77777777" w:rsidR="00E929D9" w:rsidRPr="00E929D9" w:rsidRDefault="00E929D9" w:rsidP="00E929D9">
      <w:pPr>
        <w:pStyle w:val="ListParagraph"/>
        <w:spacing w:after="180"/>
        <w:rPr>
          <w:rFonts w:ascii="Calibri" w:eastAsia="Times New Roman" w:hAnsi="Calibri" w:cs="Calibri"/>
          <w:color w:val="212121"/>
          <w:kern w:val="0"/>
          <w:sz w:val="22"/>
          <w:szCs w:val="22"/>
          <w:lang w:eastAsia="en-GB"/>
          <w14:ligatures w14:val="none"/>
        </w:rPr>
      </w:pPr>
    </w:p>
    <w:p w14:paraId="04F7E4AE" w14:textId="77777777" w:rsidR="00E929D9" w:rsidRPr="00866BD3" w:rsidRDefault="00E929D9" w:rsidP="00E929D9">
      <w:pPr>
        <w:pStyle w:val="Heading3"/>
        <w:rPr>
          <w:rFonts w:ascii="Calibri" w:eastAsia="Times New Roman" w:hAnsi="Calibri" w:cs="Calibri"/>
          <w:color w:val="212121"/>
          <w:sz w:val="22"/>
          <w:szCs w:val="22"/>
          <w:lang w:eastAsia="en-GB"/>
        </w:rPr>
      </w:pPr>
      <w:r>
        <w:t>Risks if Workforce Development Is Not Addressed</w:t>
      </w:r>
    </w:p>
    <w:p w14:paraId="350CA840" w14:textId="1FB4ABF7" w:rsidR="00E929D9" w:rsidRPr="006C05CA" w:rsidRDefault="00E929D9" w:rsidP="00E929D9">
      <w:p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Research identifies risks where workforce capability is not adequately supported</w:t>
      </w:r>
      <w:r>
        <w:rPr>
          <w:rFonts w:ascii="Calibri" w:eastAsia="Times New Roman" w:hAnsi="Calibri" w:cs="Calibri"/>
          <w:color w:val="212121"/>
          <w:kern w:val="0"/>
          <w:sz w:val="22"/>
          <w:szCs w:val="22"/>
          <w:lang w:eastAsia="en-GB"/>
          <w14:ligatures w14:val="none"/>
        </w:rPr>
        <w:t xml:space="preserve">.  </w:t>
      </w:r>
      <w:r w:rsidRPr="006C05CA">
        <w:rPr>
          <w:rFonts w:ascii="Calibri" w:eastAsia="Times New Roman" w:hAnsi="Calibri" w:cs="Calibri"/>
          <w:color w:val="212121"/>
          <w:kern w:val="0"/>
          <w:sz w:val="22"/>
          <w:szCs w:val="22"/>
          <w:lang w:eastAsia="en-GB"/>
          <w14:ligatures w14:val="none"/>
        </w:rPr>
        <w:t>These include:</w:t>
      </w:r>
    </w:p>
    <w:p w14:paraId="419F6C34" w14:textId="385A22EE" w:rsidR="00E929D9" w:rsidRPr="006C05CA" w:rsidRDefault="00E929D9"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SDS being interpreted narrowly as direct payments</w:t>
      </w:r>
    </w:p>
    <w:p w14:paraId="1C06CF46" w14:textId="74FAC44C" w:rsidR="00E929D9" w:rsidRPr="006C05CA" w:rsidRDefault="00E929D9"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Superficial person-centred practice with focus on services rather than outcomes</w:t>
      </w:r>
    </w:p>
    <w:p w14:paraId="4C4A75BD" w14:textId="53498E85" w:rsidR="00E929D9" w:rsidRPr="006C05CA" w:rsidRDefault="00E929D9"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R</w:t>
      </w:r>
      <w:r w:rsidRPr="006C05CA">
        <w:rPr>
          <w:rFonts w:ascii="Calibri" w:eastAsia="Times New Roman" w:hAnsi="Calibri" w:cs="Calibri"/>
          <w:color w:val="212121"/>
          <w:kern w:val="0"/>
          <w:sz w:val="22"/>
          <w:szCs w:val="22"/>
          <w:lang w:eastAsia="en-GB"/>
          <w14:ligatures w14:val="none"/>
        </w:rPr>
        <w:t>isk-averse organisational cultures and decision making which limits choice</w:t>
      </w:r>
    </w:p>
    <w:p w14:paraId="5F93AE2C" w14:textId="79C8E49D" w:rsidR="00E929D9" w:rsidRPr="006C05CA" w:rsidRDefault="00E929D9"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I</w:t>
      </w:r>
      <w:r w:rsidRPr="006C05CA">
        <w:rPr>
          <w:rFonts w:ascii="Calibri" w:eastAsia="Times New Roman" w:hAnsi="Calibri" w:cs="Calibri"/>
          <w:color w:val="212121"/>
          <w:kern w:val="0"/>
          <w:sz w:val="22"/>
          <w:szCs w:val="22"/>
          <w:lang w:eastAsia="en-GB"/>
          <w14:ligatures w14:val="none"/>
        </w:rPr>
        <w:t>nconsistent practice across organisations</w:t>
      </w:r>
    </w:p>
    <w:p w14:paraId="3F8DB802" w14:textId="6AE1EE08" w:rsidR="00E929D9" w:rsidRPr="006C05CA" w:rsidRDefault="00E929D9"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L</w:t>
      </w:r>
      <w:r w:rsidRPr="006C05CA">
        <w:rPr>
          <w:rFonts w:ascii="Calibri" w:eastAsia="Times New Roman" w:hAnsi="Calibri" w:cs="Calibri"/>
          <w:color w:val="212121"/>
          <w:kern w:val="0"/>
          <w:sz w:val="22"/>
          <w:szCs w:val="22"/>
          <w:lang w:eastAsia="en-GB"/>
          <w14:ligatures w14:val="none"/>
        </w:rPr>
        <w:t>ack of practitioner confidence and reliance on specialists</w:t>
      </w:r>
    </w:p>
    <w:p w14:paraId="3AD8FF64" w14:textId="77777777" w:rsidR="00E929D9" w:rsidRPr="006C05CA" w:rsidRDefault="00E929D9" w:rsidP="00E929D9">
      <w:pPr>
        <w:pStyle w:val="ListParagraph"/>
        <w:numPr>
          <w:ilvl w:val="0"/>
          <w:numId w:val="3"/>
        </w:numPr>
        <w:spacing w:after="18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Greater difficulty navigating systems, particularly for individuals with less access to support, information or advocacy.</w:t>
      </w:r>
    </w:p>
    <w:p w14:paraId="31CA70ED" w14:textId="77777777" w:rsidR="00E929D9" w:rsidRPr="006C05CA" w:rsidRDefault="00E929D9" w:rsidP="00E929D9">
      <w:pPr>
        <w:spacing w:after="180"/>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Addressing workforce development can help mitigate these risks.</w:t>
      </w:r>
    </w:p>
    <w:p w14:paraId="03E50B87" w14:textId="77777777" w:rsidR="00E929D9" w:rsidRPr="00E929D9" w:rsidRDefault="00E929D9" w:rsidP="00E929D9">
      <w:pPr>
        <w:spacing w:after="180"/>
        <w:rPr>
          <w:rFonts w:ascii="Calibri" w:eastAsia="Times New Roman" w:hAnsi="Calibri" w:cs="Calibri"/>
          <w:color w:val="212121"/>
          <w:kern w:val="0"/>
          <w:sz w:val="22"/>
          <w:szCs w:val="22"/>
          <w:lang w:eastAsia="en-GB"/>
          <w14:ligatures w14:val="none"/>
        </w:rPr>
      </w:pPr>
    </w:p>
    <w:p w14:paraId="3EE94E7F" w14:textId="77777777" w:rsidR="00902219" w:rsidRDefault="00902219" w:rsidP="006F11DA">
      <w:pPr>
        <w:pStyle w:val="Heading3"/>
        <w:rPr>
          <w:rFonts w:eastAsia="Times New Roman"/>
          <w:lang w:eastAsia="en-GB"/>
        </w:rPr>
      </w:pPr>
    </w:p>
    <w:p w14:paraId="5FC71527" w14:textId="04B21557" w:rsidR="00FA22AE" w:rsidRPr="00A3703E" w:rsidRDefault="00FA22AE" w:rsidP="006F11DA">
      <w:pPr>
        <w:pStyle w:val="Heading3"/>
        <w:rPr>
          <w:rFonts w:eastAsia="Times New Roman"/>
          <w:lang w:eastAsia="en-GB"/>
        </w:rPr>
      </w:pPr>
      <w:r w:rsidRPr="00A3703E">
        <w:rPr>
          <w:rFonts w:eastAsia="Times New Roman"/>
          <w:lang w:eastAsia="en-GB"/>
        </w:rPr>
        <w:t>Implications for Northern Ireland</w:t>
      </w:r>
    </w:p>
    <w:p w14:paraId="4936EFAF" w14:textId="0810858C" w:rsidR="00E72E1D" w:rsidRPr="00A3703E" w:rsidRDefault="00FA22AE" w:rsidP="00FA22AE">
      <w:pPr>
        <w:spacing w:before="100" w:beforeAutospacing="1" w:after="100" w:afterAutospacing="1"/>
        <w:rPr>
          <w:rFonts w:ascii="Calibri" w:eastAsia="Times New Roman" w:hAnsi="Calibri" w:cs="Calibri"/>
          <w:kern w:val="0"/>
          <w:sz w:val="22"/>
          <w:szCs w:val="22"/>
          <w:lang w:eastAsia="en-GB"/>
          <w14:ligatures w14:val="none"/>
        </w:rPr>
      </w:pPr>
      <w:r w:rsidRPr="00A3703E">
        <w:rPr>
          <w:rFonts w:ascii="Calibri" w:eastAsia="Times New Roman" w:hAnsi="Calibri" w:cs="Calibri"/>
          <w:kern w:val="0"/>
          <w:sz w:val="22"/>
          <w:szCs w:val="22"/>
          <w:lang w:eastAsia="en-GB"/>
          <w14:ligatures w14:val="none"/>
        </w:rPr>
        <w:t xml:space="preserve">For Northern Ireland, this </w:t>
      </w:r>
      <w:r w:rsidR="00052F15">
        <w:rPr>
          <w:rFonts w:ascii="Calibri" w:eastAsia="Times New Roman" w:hAnsi="Calibri" w:cs="Calibri"/>
          <w:kern w:val="0"/>
          <w:sz w:val="22"/>
          <w:szCs w:val="22"/>
          <w:lang w:eastAsia="en-GB"/>
          <w14:ligatures w14:val="none"/>
        </w:rPr>
        <w:t>suggests</w:t>
      </w:r>
      <w:r w:rsidRPr="00A3703E">
        <w:rPr>
          <w:rFonts w:ascii="Calibri" w:eastAsia="Times New Roman" w:hAnsi="Calibri" w:cs="Calibri"/>
          <w:kern w:val="0"/>
          <w:sz w:val="22"/>
          <w:szCs w:val="22"/>
          <w:lang w:eastAsia="en-GB"/>
          <w14:ligatures w14:val="none"/>
        </w:rPr>
        <w:t xml:space="preserve"> that workforce development for SDS should be approached as a regional and system-wide priority. A fragmented approach based on individual courses is unlikely to achieve consistent practice across Trusts and programmes of care. A more coordinated approach is needed, with shared expectations and stronger links to wider reform.</w:t>
      </w:r>
    </w:p>
    <w:p w14:paraId="1E429E60" w14:textId="4CA1696B" w:rsidR="00E72E1D" w:rsidRDefault="00FA22AE" w:rsidP="000E70F6">
      <w:pPr>
        <w:spacing w:after="180"/>
        <w:rPr>
          <w:rFonts w:ascii="Calibri" w:eastAsia="Times New Roman" w:hAnsi="Calibri" w:cs="Calibri"/>
          <w:kern w:val="0"/>
          <w:sz w:val="22"/>
          <w:szCs w:val="22"/>
          <w:lang w:eastAsia="en-GB"/>
          <w14:ligatures w14:val="none"/>
        </w:rPr>
      </w:pPr>
      <w:r w:rsidRPr="00A3703E">
        <w:rPr>
          <w:rFonts w:ascii="Calibri" w:eastAsia="Times New Roman" w:hAnsi="Calibri" w:cs="Calibri"/>
          <w:kern w:val="0"/>
          <w:sz w:val="22"/>
          <w:szCs w:val="22"/>
          <w:lang w:eastAsia="en-GB"/>
          <w14:ligatures w14:val="none"/>
        </w:rPr>
        <w:t xml:space="preserve">A tiered approach </w:t>
      </w:r>
      <w:r w:rsidR="002C13B7" w:rsidRPr="006F11DA">
        <w:rPr>
          <w:rFonts w:ascii="Calibri" w:eastAsia="Times New Roman" w:hAnsi="Calibri" w:cs="Calibri"/>
          <w:kern w:val="0"/>
          <w:sz w:val="22"/>
          <w:szCs w:val="22"/>
          <w:lang w:eastAsia="en-GB"/>
          <w14:ligatures w14:val="none"/>
        </w:rPr>
        <w:t>can</w:t>
      </w:r>
      <w:r w:rsidRPr="00A3703E">
        <w:rPr>
          <w:rFonts w:ascii="Calibri" w:eastAsia="Times New Roman" w:hAnsi="Calibri" w:cs="Calibri"/>
          <w:kern w:val="0"/>
          <w:sz w:val="22"/>
          <w:szCs w:val="22"/>
          <w:lang w:eastAsia="en-GB"/>
          <w14:ligatures w14:val="none"/>
        </w:rPr>
        <w:t xml:space="preserve"> help support this</w:t>
      </w:r>
      <w:r w:rsidR="002C13B7" w:rsidRPr="006F11DA">
        <w:rPr>
          <w:rFonts w:ascii="Calibri" w:eastAsia="Times New Roman" w:hAnsi="Calibri" w:cs="Calibri"/>
          <w:kern w:val="0"/>
          <w:sz w:val="22"/>
          <w:szCs w:val="22"/>
          <w:lang w:eastAsia="en-GB"/>
          <w14:ligatures w14:val="none"/>
        </w:rPr>
        <w:t xml:space="preserve"> by </w:t>
      </w:r>
      <w:r w:rsidR="002C13B7" w:rsidRPr="006F11DA">
        <w:rPr>
          <w:rFonts w:ascii="Calibri" w:eastAsiaTheme="minorEastAsia" w:hAnsi="Calibri" w:cs="Calibri"/>
          <w:color w:val="000000"/>
          <w:kern w:val="0"/>
          <w:sz w:val="22"/>
          <w:szCs w:val="22"/>
          <w:lang w:eastAsia="en-GB"/>
          <w14:ligatures w14:val="none"/>
        </w:rPr>
        <w:t>aligning capability development with responsibilities in different parts of the system</w:t>
      </w:r>
      <w:r w:rsidRPr="00A3703E">
        <w:rPr>
          <w:rFonts w:ascii="Calibri" w:eastAsia="Times New Roman" w:hAnsi="Calibri" w:cs="Calibri"/>
          <w:kern w:val="0"/>
          <w:sz w:val="22"/>
          <w:szCs w:val="22"/>
          <w:lang w:eastAsia="en-GB"/>
          <w14:ligatures w14:val="none"/>
        </w:rPr>
        <w:t>. Different roles need different levels of knowledge and responsibility, but all contribute to effective SDS</w:t>
      </w:r>
      <w:r w:rsidR="008554BA" w:rsidRPr="006F11DA">
        <w:rPr>
          <w:rFonts w:ascii="Calibri" w:eastAsia="Times New Roman" w:hAnsi="Calibri" w:cs="Calibri"/>
          <w:kern w:val="0"/>
          <w:sz w:val="22"/>
          <w:szCs w:val="22"/>
          <w:lang w:eastAsia="en-GB"/>
          <w14:ligatures w14:val="none"/>
        </w:rPr>
        <w:t xml:space="preserve">.  </w:t>
      </w:r>
      <w:r w:rsidR="00E72E1D" w:rsidRPr="006F11DA">
        <w:rPr>
          <w:rFonts w:ascii="Calibri" w:eastAsiaTheme="minorEastAsia" w:hAnsi="Calibri" w:cs="Calibri"/>
          <w:color w:val="000000"/>
          <w:kern w:val="0"/>
          <w:sz w:val="22"/>
          <w:szCs w:val="22"/>
          <w:lang w:eastAsia="en-GB"/>
          <w14:ligatures w14:val="none"/>
        </w:rPr>
        <w:t>Across all tiers, workforce capability ultimately contributes to the quality of person-centred planning which acts as the primary mechanism through which SDS delivers improved outcomes.</w:t>
      </w:r>
    </w:p>
    <w:p w14:paraId="2C51ECBD" w14:textId="69B4FC65" w:rsidR="00FA22AE" w:rsidRDefault="000E70F6" w:rsidP="002C13B7">
      <w:pPr>
        <w:spacing w:after="180"/>
        <w:rPr>
          <w:rFonts w:ascii="Calibri" w:eastAsiaTheme="minorEastAsia" w:hAnsi="Calibri" w:cs="Calibri"/>
          <w:color w:val="000000"/>
          <w:kern w:val="0"/>
          <w:sz w:val="22"/>
          <w:szCs w:val="22"/>
          <w:lang w:eastAsia="en-GB"/>
          <w14:ligatures w14:val="none"/>
        </w:rPr>
      </w:pPr>
      <w:r w:rsidRPr="006F11DA">
        <w:rPr>
          <w:rFonts w:ascii="Calibri" w:eastAsiaTheme="minorEastAsia" w:hAnsi="Calibri" w:cs="Calibri"/>
          <w:color w:val="000000"/>
          <w:kern w:val="0"/>
          <w:sz w:val="22"/>
          <w:szCs w:val="22"/>
          <w:lang w:eastAsia="en-GB"/>
          <w14:ligatures w14:val="none"/>
        </w:rPr>
        <w:t xml:space="preserve">The </w:t>
      </w:r>
      <w:r w:rsidR="00E929D9">
        <w:rPr>
          <w:rFonts w:ascii="Calibri" w:eastAsiaTheme="minorEastAsia" w:hAnsi="Calibri" w:cs="Calibri"/>
          <w:color w:val="000000"/>
          <w:kern w:val="0"/>
          <w:sz w:val="22"/>
          <w:szCs w:val="22"/>
          <w:lang w:eastAsia="en-GB"/>
          <w14:ligatures w14:val="none"/>
        </w:rPr>
        <w:t>T</w:t>
      </w:r>
      <w:r w:rsidRPr="006F11DA">
        <w:rPr>
          <w:rFonts w:ascii="Calibri" w:eastAsiaTheme="minorEastAsia" w:hAnsi="Calibri" w:cs="Calibri"/>
          <w:color w:val="000000"/>
          <w:kern w:val="0"/>
          <w:sz w:val="22"/>
          <w:szCs w:val="22"/>
          <w:lang w:eastAsia="en-GB"/>
          <w14:ligatures w14:val="none"/>
        </w:rPr>
        <w:t>able below provides a preliminary draft for a tiered model</w:t>
      </w:r>
      <w:r w:rsidR="00E72E1D">
        <w:rPr>
          <w:rFonts w:ascii="Calibri" w:eastAsiaTheme="minorEastAsia" w:hAnsi="Calibri" w:cs="Calibri"/>
          <w:color w:val="000000"/>
          <w:kern w:val="0"/>
          <w:sz w:val="22"/>
          <w:szCs w:val="22"/>
          <w:lang w:eastAsia="en-GB"/>
          <w14:ligatures w14:val="none"/>
        </w:rPr>
        <w:t xml:space="preserve"> to </w:t>
      </w:r>
      <w:r w:rsidR="00E72E1D" w:rsidRPr="006F11DA">
        <w:rPr>
          <w:rFonts w:ascii="Calibri" w:eastAsiaTheme="minorEastAsia" w:hAnsi="Calibri" w:cs="Calibri"/>
          <w:color w:val="000000"/>
          <w:kern w:val="0"/>
          <w:sz w:val="22"/>
          <w:szCs w:val="22"/>
          <w:lang w:eastAsia="en-GB"/>
          <w14:ligatures w14:val="none"/>
        </w:rPr>
        <w:t>show</w:t>
      </w:r>
      <w:r w:rsidR="00E72E1D">
        <w:rPr>
          <w:rFonts w:ascii="Calibri" w:eastAsiaTheme="minorEastAsia" w:hAnsi="Calibri" w:cs="Calibri"/>
          <w:color w:val="000000"/>
          <w:kern w:val="0"/>
          <w:sz w:val="22"/>
          <w:szCs w:val="22"/>
          <w:lang w:eastAsia="en-GB"/>
          <w14:ligatures w14:val="none"/>
        </w:rPr>
        <w:t xml:space="preserve"> </w:t>
      </w:r>
      <w:r w:rsidR="00E72E1D" w:rsidRPr="006F11DA">
        <w:rPr>
          <w:rFonts w:ascii="Calibri" w:eastAsiaTheme="minorEastAsia" w:hAnsi="Calibri" w:cs="Calibri"/>
          <w:color w:val="000000"/>
          <w:kern w:val="0"/>
          <w:sz w:val="22"/>
          <w:szCs w:val="22"/>
          <w:lang w:eastAsia="en-GB"/>
          <w14:ligatures w14:val="none"/>
        </w:rPr>
        <w:t>how these competencies could potentially translate across the workforce</w:t>
      </w:r>
      <w:r w:rsidR="00E72E1D">
        <w:rPr>
          <w:rFonts w:ascii="Calibri" w:eastAsiaTheme="minorEastAsia" w:hAnsi="Calibri" w:cs="Calibri"/>
          <w:color w:val="000000"/>
          <w:kern w:val="0"/>
          <w:sz w:val="22"/>
          <w:szCs w:val="22"/>
          <w:lang w:eastAsia="en-GB"/>
          <w14:ligatures w14:val="none"/>
        </w:rPr>
        <w:t xml:space="preserve">.  It draws </w:t>
      </w:r>
      <w:r w:rsidRPr="006F11DA">
        <w:rPr>
          <w:rFonts w:ascii="Calibri" w:eastAsiaTheme="minorEastAsia" w:hAnsi="Calibri" w:cs="Calibri"/>
          <w:color w:val="000000"/>
          <w:kern w:val="0"/>
          <w:sz w:val="22"/>
          <w:szCs w:val="22"/>
          <w:lang w:eastAsia="en-GB"/>
          <w14:ligatures w14:val="none"/>
        </w:rPr>
        <w:t xml:space="preserve">on evidence from implementation research, national frameworks and inspection findings. </w:t>
      </w:r>
    </w:p>
    <w:p w14:paraId="6D817C40" w14:textId="77777777" w:rsidR="00155B27" w:rsidRPr="00E929D9" w:rsidRDefault="00155B27" w:rsidP="002C13B7">
      <w:pPr>
        <w:spacing w:after="180"/>
        <w:rPr>
          <w:rFonts w:ascii="Calibri" w:eastAsiaTheme="minorEastAsia" w:hAnsi="Calibri" w:cs="Calibri"/>
          <w:color w:val="000000"/>
          <w:kern w:val="0"/>
          <w:sz w:val="22"/>
          <w:szCs w:val="22"/>
          <w:lang w:eastAsia="en-GB"/>
          <w14:ligatures w14:val="none"/>
        </w:rPr>
      </w:pPr>
    </w:p>
    <w:tbl>
      <w:tblPr>
        <w:tblStyle w:val="GridTable4"/>
        <w:tblW w:w="9016" w:type="dxa"/>
        <w:tblLook w:val="04A0" w:firstRow="1" w:lastRow="0" w:firstColumn="1" w:lastColumn="0" w:noHBand="0" w:noVBand="1"/>
      </w:tblPr>
      <w:tblGrid>
        <w:gridCol w:w="884"/>
        <w:gridCol w:w="2303"/>
        <w:gridCol w:w="5829"/>
      </w:tblGrid>
      <w:tr w:rsidR="008912D5" w:rsidRPr="003B5A7D" w14:paraId="541DF3C1" w14:textId="77777777" w:rsidTr="003706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3C112C11" w14:textId="77777777" w:rsidR="008912D5" w:rsidRPr="003B5A7D" w:rsidRDefault="008912D5" w:rsidP="0037065C">
            <w:pPr>
              <w:spacing w:before="100" w:beforeAutospacing="1" w:after="100" w:afterAutospacing="1"/>
              <w:ind w:left="8" w:right="8"/>
              <w:jc w:val="center"/>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Tier</w:t>
            </w:r>
          </w:p>
        </w:tc>
        <w:tc>
          <w:tcPr>
            <w:tcW w:w="2303" w:type="dxa"/>
            <w:hideMark/>
          </w:tcPr>
          <w:p w14:paraId="79D44DA2" w14:textId="77777777" w:rsidR="008912D5" w:rsidRPr="003B5A7D" w:rsidRDefault="008912D5" w:rsidP="0037065C">
            <w:pPr>
              <w:spacing w:before="100" w:beforeAutospacing="1" w:after="100" w:afterAutospacing="1"/>
              <w:ind w:left="8" w:right="8"/>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Role focus</w:t>
            </w:r>
          </w:p>
        </w:tc>
        <w:tc>
          <w:tcPr>
            <w:tcW w:w="5829" w:type="dxa"/>
            <w:hideMark/>
          </w:tcPr>
          <w:p w14:paraId="60B3284D" w14:textId="77777777" w:rsidR="008912D5" w:rsidRPr="003B5A7D" w:rsidRDefault="008912D5" w:rsidP="0037065C">
            <w:pPr>
              <w:spacing w:before="100" w:beforeAutospacing="1" w:after="100" w:afterAutospacing="1"/>
              <w:ind w:left="8" w:right="8"/>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Competency application</w:t>
            </w:r>
          </w:p>
        </w:tc>
      </w:tr>
      <w:tr w:rsidR="008912D5" w:rsidRPr="003B5A7D" w14:paraId="773BB09F" w14:textId="77777777" w:rsidTr="00370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1C1D0E87" w14:textId="77777777" w:rsidR="008912D5" w:rsidRPr="003B5A7D" w:rsidRDefault="008912D5" w:rsidP="0037065C">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Tier 1</w:t>
            </w:r>
          </w:p>
        </w:tc>
        <w:tc>
          <w:tcPr>
            <w:tcW w:w="2303" w:type="dxa"/>
            <w:hideMark/>
          </w:tcPr>
          <w:p w14:paraId="21C31B99" w14:textId="77777777" w:rsidR="008912D5" w:rsidRPr="003B5A7D" w:rsidRDefault="008912D5" w:rsidP="0037065C">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Whole workforce awareness</w:t>
            </w:r>
          </w:p>
        </w:tc>
        <w:tc>
          <w:tcPr>
            <w:tcW w:w="5829" w:type="dxa"/>
            <w:hideMark/>
          </w:tcPr>
          <w:p w14:paraId="55068C28" w14:textId="77777777" w:rsidR="008912D5" w:rsidRPr="003B5A7D" w:rsidRDefault="008912D5" w:rsidP="0037065C">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Awareness of SDS principles, choice and control, and the importance of person-centred approaches. Ability to recognise SDS and direct individuals appropriately.</w:t>
            </w:r>
          </w:p>
        </w:tc>
      </w:tr>
      <w:tr w:rsidR="008912D5" w:rsidRPr="003B5A7D" w14:paraId="559AB8CE" w14:textId="77777777" w:rsidTr="0037065C">
        <w:tc>
          <w:tcPr>
            <w:cnfStyle w:val="001000000000" w:firstRow="0" w:lastRow="0" w:firstColumn="1" w:lastColumn="0" w:oddVBand="0" w:evenVBand="0" w:oddHBand="0" w:evenHBand="0" w:firstRowFirstColumn="0" w:firstRowLastColumn="0" w:lastRowFirstColumn="0" w:lastRowLastColumn="0"/>
            <w:tcW w:w="884" w:type="dxa"/>
            <w:hideMark/>
          </w:tcPr>
          <w:p w14:paraId="47F3B8A6" w14:textId="77777777" w:rsidR="008912D5" w:rsidRPr="003B5A7D" w:rsidRDefault="008912D5" w:rsidP="0037065C">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Tier 2</w:t>
            </w:r>
          </w:p>
        </w:tc>
        <w:tc>
          <w:tcPr>
            <w:tcW w:w="2303" w:type="dxa"/>
            <w:hideMark/>
          </w:tcPr>
          <w:p w14:paraId="6BFF9FEE" w14:textId="77777777" w:rsidR="008912D5" w:rsidRPr="003B5A7D" w:rsidRDefault="008912D5" w:rsidP="0037065C">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Practitioners (e.g. social workers, care coordinators, AHPs)</w:t>
            </w:r>
          </w:p>
        </w:tc>
        <w:tc>
          <w:tcPr>
            <w:tcW w:w="5829" w:type="dxa"/>
            <w:hideMark/>
          </w:tcPr>
          <w:p w14:paraId="48A74F51" w14:textId="77777777" w:rsidR="008912D5" w:rsidRPr="003B5A7D" w:rsidRDefault="008912D5" w:rsidP="0037065C">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Core capability in person-centred conversations, strengths-based assessment, collaborative support planning, explaining SDS options, and recording outcomes. </w:t>
            </w:r>
            <w:r>
              <w:rPr>
                <w:rFonts w:ascii="Calibri" w:eastAsiaTheme="minorEastAsia" w:hAnsi="Calibri" w:cs="Times New Roman"/>
                <w:kern w:val="0"/>
                <w:sz w:val="22"/>
                <w:szCs w:val="22"/>
                <w:lang w:eastAsia="en-GB"/>
                <w14:ligatures w14:val="none"/>
              </w:rPr>
              <w:t>S</w:t>
            </w:r>
            <w:r w:rsidRPr="003B5A7D">
              <w:rPr>
                <w:rFonts w:ascii="Calibri" w:eastAsiaTheme="minorEastAsia" w:hAnsi="Calibri" w:cs="Times New Roman"/>
                <w:kern w:val="0"/>
                <w:sz w:val="22"/>
                <w:szCs w:val="22"/>
                <w:lang w:eastAsia="en-GB"/>
                <w14:ligatures w14:val="none"/>
              </w:rPr>
              <w:t>kills in complex support planning, risk enablement, working with uncertainty, and integrating multiple services and supports.</w:t>
            </w:r>
          </w:p>
        </w:tc>
      </w:tr>
      <w:tr w:rsidR="008912D5" w:rsidRPr="003B5A7D" w14:paraId="3EA97A48" w14:textId="77777777" w:rsidTr="00370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2BB0A3A2" w14:textId="77777777" w:rsidR="008912D5" w:rsidRPr="003B5A7D" w:rsidRDefault="008912D5" w:rsidP="0037065C">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Tier </w:t>
            </w:r>
            <w:r>
              <w:rPr>
                <w:rFonts w:ascii="Calibri" w:eastAsiaTheme="minorEastAsia" w:hAnsi="Calibri" w:cs="Times New Roman"/>
                <w:kern w:val="0"/>
                <w:sz w:val="22"/>
                <w:szCs w:val="22"/>
                <w:lang w:eastAsia="en-GB"/>
                <w14:ligatures w14:val="none"/>
              </w:rPr>
              <w:t>3</w:t>
            </w:r>
          </w:p>
        </w:tc>
        <w:tc>
          <w:tcPr>
            <w:tcW w:w="2303" w:type="dxa"/>
            <w:hideMark/>
          </w:tcPr>
          <w:p w14:paraId="32824DCD" w14:textId="77777777" w:rsidR="008912D5" w:rsidRPr="003B5A7D" w:rsidRDefault="008912D5" w:rsidP="0037065C">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Practice leaders / specialists</w:t>
            </w:r>
          </w:p>
        </w:tc>
        <w:tc>
          <w:tcPr>
            <w:tcW w:w="5829" w:type="dxa"/>
            <w:hideMark/>
          </w:tcPr>
          <w:p w14:paraId="4BEF840B" w14:textId="77777777" w:rsidR="008912D5" w:rsidRPr="003B5A7D" w:rsidRDefault="008912D5" w:rsidP="0037065C">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Ability to coach others, model good practice, support quality assurance of plans, and lead practice development in SDS.</w:t>
            </w:r>
          </w:p>
        </w:tc>
      </w:tr>
      <w:tr w:rsidR="008912D5" w:rsidRPr="003B5A7D" w14:paraId="260F5425" w14:textId="77777777" w:rsidTr="0037065C">
        <w:tc>
          <w:tcPr>
            <w:cnfStyle w:val="001000000000" w:firstRow="0" w:lastRow="0" w:firstColumn="1" w:lastColumn="0" w:oddVBand="0" w:evenVBand="0" w:oddHBand="0" w:evenHBand="0" w:firstRowFirstColumn="0" w:firstRowLastColumn="0" w:lastRowFirstColumn="0" w:lastRowLastColumn="0"/>
            <w:tcW w:w="884" w:type="dxa"/>
            <w:hideMark/>
          </w:tcPr>
          <w:p w14:paraId="06C4DF4C" w14:textId="77777777" w:rsidR="008912D5" w:rsidRPr="003B5A7D" w:rsidRDefault="008912D5" w:rsidP="0037065C">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Tier </w:t>
            </w:r>
            <w:r>
              <w:rPr>
                <w:rFonts w:ascii="Calibri" w:eastAsiaTheme="minorEastAsia" w:hAnsi="Calibri" w:cs="Times New Roman"/>
                <w:kern w:val="0"/>
                <w:sz w:val="22"/>
                <w:szCs w:val="22"/>
                <w:lang w:eastAsia="en-GB"/>
                <w14:ligatures w14:val="none"/>
              </w:rPr>
              <w:t>4</w:t>
            </w:r>
          </w:p>
        </w:tc>
        <w:tc>
          <w:tcPr>
            <w:tcW w:w="2303" w:type="dxa"/>
            <w:hideMark/>
          </w:tcPr>
          <w:p w14:paraId="49B7107E" w14:textId="77777777" w:rsidR="008912D5" w:rsidRPr="003B5A7D" w:rsidRDefault="008912D5" w:rsidP="0037065C">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Supervisors and managers</w:t>
            </w:r>
          </w:p>
        </w:tc>
        <w:tc>
          <w:tcPr>
            <w:tcW w:w="5829" w:type="dxa"/>
            <w:hideMark/>
          </w:tcPr>
          <w:p w14:paraId="0F00A039" w14:textId="77777777" w:rsidR="008912D5" w:rsidRPr="003B5A7D" w:rsidRDefault="008912D5" w:rsidP="0037065C">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Capability in reflective supervision, supporting practitioner confidence, overseeing decision-making, and ensuring consistency and quality of SDS practice.</w:t>
            </w:r>
          </w:p>
        </w:tc>
      </w:tr>
      <w:tr w:rsidR="008912D5" w:rsidRPr="003B5A7D" w14:paraId="2EF460A0" w14:textId="77777777" w:rsidTr="00370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351BD414" w14:textId="77777777" w:rsidR="008912D5" w:rsidRPr="003B5A7D" w:rsidRDefault="008912D5" w:rsidP="0037065C">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Tier </w:t>
            </w:r>
            <w:r>
              <w:rPr>
                <w:rFonts w:ascii="Calibri" w:eastAsiaTheme="minorEastAsia" w:hAnsi="Calibri" w:cs="Times New Roman"/>
                <w:kern w:val="0"/>
                <w:sz w:val="22"/>
                <w:szCs w:val="22"/>
                <w:lang w:eastAsia="en-GB"/>
                <w14:ligatures w14:val="none"/>
              </w:rPr>
              <w:t>5</w:t>
            </w:r>
          </w:p>
        </w:tc>
        <w:tc>
          <w:tcPr>
            <w:tcW w:w="2303" w:type="dxa"/>
            <w:hideMark/>
          </w:tcPr>
          <w:p w14:paraId="07A3C56E" w14:textId="77777777" w:rsidR="008912D5" w:rsidRPr="003B5A7D" w:rsidRDefault="008912D5" w:rsidP="0037065C">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Senior leaders, commissioners, governance</w:t>
            </w:r>
          </w:p>
        </w:tc>
        <w:tc>
          <w:tcPr>
            <w:tcW w:w="5829" w:type="dxa"/>
            <w:hideMark/>
          </w:tcPr>
          <w:p w14:paraId="30D9CF59" w14:textId="77777777" w:rsidR="008912D5" w:rsidRPr="003B5A7D" w:rsidRDefault="008912D5" w:rsidP="0037065C">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Understanding of SDS principles in relation to system design, including commissioning, budgeting, governance and organisational culture. Ability to align systems to support SDS.</w:t>
            </w:r>
          </w:p>
        </w:tc>
      </w:tr>
    </w:tbl>
    <w:p w14:paraId="49205A1B" w14:textId="77777777" w:rsidR="00E83BB3" w:rsidRPr="00E929D9" w:rsidRDefault="00E83BB3" w:rsidP="00E929D9">
      <w:pPr>
        <w:spacing w:after="180"/>
        <w:rPr>
          <w:rFonts w:ascii="Calibri" w:eastAsia="Times New Roman" w:hAnsi="Calibri" w:cs="Calibri"/>
          <w:color w:val="212121"/>
          <w:kern w:val="0"/>
          <w:sz w:val="22"/>
          <w:szCs w:val="22"/>
          <w:lang w:eastAsia="en-GB"/>
          <w14:ligatures w14:val="none"/>
        </w:rPr>
      </w:pPr>
    </w:p>
    <w:p w14:paraId="06F9E31C" w14:textId="77777777" w:rsidR="00902219" w:rsidRDefault="00902219">
      <w:pPr>
        <w:rPr>
          <w:rFonts w:eastAsia="Times New Roman" w:cstheme="majorBidi"/>
          <w:color w:val="B3186D" w:themeColor="accent1" w:themeShade="BF"/>
          <w:sz w:val="28"/>
          <w:szCs w:val="28"/>
          <w:lang w:eastAsia="en-GB"/>
        </w:rPr>
      </w:pPr>
      <w:r>
        <w:rPr>
          <w:rFonts w:eastAsia="Times New Roman"/>
          <w:lang w:eastAsia="en-GB"/>
        </w:rPr>
        <w:br w:type="page"/>
      </w:r>
    </w:p>
    <w:p w14:paraId="44259417" w14:textId="77777777" w:rsidR="00902219" w:rsidRDefault="00902219" w:rsidP="005D3133">
      <w:pPr>
        <w:pStyle w:val="Heading3"/>
        <w:rPr>
          <w:rFonts w:eastAsia="Times New Roman"/>
          <w:lang w:eastAsia="en-GB"/>
        </w:rPr>
      </w:pPr>
    </w:p>
    <w:p w14:paraId="091B282C" w14:textId="77777777" w:rsidR="00902219" w:rsidRDefault="00902219" w:rsidP="005D3133">
      <w:pPr>
        <w:pStyle w:val="Heading3"/>
        <w:rPr>
          <w:rFonts w:eastAsia="Times New Roman"/>
          <w:lang w:eastAsia="en-GB"/>
        </w:rPr>
      </w:pPr>
    </w:p>
    <w:p w14:paraId="430DB456" w14:textId="70AF1DE7" w:rsidR="005D3133" w:rsidRDefault="005D3133" w:rsidP="005D3133">
      <w:pPr>
        <w:pStyle w:val="Heading3"/>
        <w:rPr>
          <w:rFonts w:eastAsia="Times New Roman"/>
          <w:lang w:eastAsia="en-GB"/>
        </w:rPr>
      </w:pPr>
      <w:r>
        <w:rPr>
          <w:rFonts w:eastAsia="Times New Roman"/>
          <w:lang w:eastAsia="en-GB"/>
        </w:rPr>
        <w:t xml:space="preserve">Effective SDS training approaches </w:t>
      </w:r>
    </w:p>
    <w:p w14:paraId="7FCC3216" w14:textId="77777777" w:rsidR="005D3133"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 xml:space="preserve">Effective SDS training is likely to be practical, interactive and reinforced over time, rather than delivered as one-off information sessions. </w:t>
      </w:r>
    </w:p>
    <w:p w14:paraId="57AA76F1" w14:textId="551CE578" w:rsidR="005D3133"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Implementation evidence suggests that changes in practice are more likely when formal training is combined with coaching, supervision and other supports that help staff apply new approaches in real settings</w:t>
      </w:r>
      <w:r>
        <w:rPr>
          <w:rFonts w:ascii="Calibri" w:eastAsia="Times New Roman" w:hAnsi="Calibri" w:cs="Calibri"/>
          <w:kern w:val="0"/>
          <w:sz w:val="22"/>
          <w:szCs w:val="22"/>
          <w:lang w:eastAsia="en-GB"/>
          <w14:ligatures w14:val="none"/>
        </w:rPr>
        <w:t>.</w:t>
      </w:r>
      <w:r w:rsidRPr="006D5DDD">
        <w:rPr>
          <w:rFonts w:ascii="Calibri" w:eastAsia="Times New Roman" w:hAnsi="Calibri" w:cs="Calibri"/>
          <w:kern w:val="0"/>
          <w:sz w:val="22"/>
          <w:szCs w:val="22"/>
          <w:lang w:eastAsia="en-GB"/>
          <w14:ligatures w14:val="none"/>
        </w:rPr>
        <w:t xml:space="preserve"> </w:t>
      </w:r>
    </w:p>
    <w:p w14:paraId="41A1EC9E" w14:textId="5B4CA98A" w:rsidR="005D3133"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r>
        <w:rPr>
          <w:rFonts w:ascii="Calibri" w:eastAsia="Times New Roman" w:hAnsi="Calibri" w:cs="Calibri"/>
          <w:kern w:val="0"/>
          <w:sz w:val="22"/>
          <w:szCs w:val="22"/>
          <w:lang w:eastAsia="en-GB"/>
          <w14:ligatures w14:val="none"/>
        </w:rPr>
        <w:t>P</w:t>
      </w:r>
      <w:r w:rsidRPr="006D5DDD">
        <w:rPr>
          <w:rFonts w:ascii="Calibri" w:eastAsia="Times New Roman" w:hAnsi="Calibri" w:cs="Calibri"/>
          <w:kern w:val="0"/>
          <w:sz w:val="22"/>
          <w:szCs w:val="22"/>
          <w:lang w:eastAsia="en-GB"/>
          <w14:ligatures w14:val="none"/>
        </w:rPr>
        <w:t>ractical guidance, case studies and worked examples to help staff translate person-centred principles into day-to-day planning and review</w:t>
      </w:r>
      <w:r>
        <w:rPr>
          <w:rFonts w:ascii="Calibri" w:eastAsia="Times New Roman" w:hAnsi="Calibri" w:cs="Calibri"/>
          <w:kern w:val="0"/>
          <w:sz w:val="22"/>
          <w:szCs w:val="22"/>
          <w:lang w:eastAsia="en-GB"/>
          <w14:ligatures w14:val="none"/>
        </w:rPr>
        <w:t>.</w:t>
      </w:r>
      <w:r w:rsidRPr="006D5DDD">
        <w:rPr>
          <w:rFonts w:ascii="Calibri" w:eastAsia="Times New Roman" w:hAnsi="Calibri" w:cs="Calibri"/>
          <w:kern w:val="0"/>
          <w:sz w:val="22"/>
          <w:szCs w:val="22"/>
          <w:lang w:eastAsia="en-GB"/>
          <w14:ligatures w14:val="none"/>
        </w:rPr>
        <w:t xml:space="preserve"> </w:t>
      </w:r>
      <w:r w:rsidR="00026DE5">
        <w:rPr>
          <w:rFonts w:ascii="Calibri" w:eastAsia="Times New Roman" w:hAnsi="Calibri" w:cs="Calibri"/>
          <w:kern w:val="0"/>
          <w:sz w:val="22"/>
          <w:szCs w:val="22"/>
          <w:lang w:eastAsia="en-GB"/>
          <w14:ligatures w14:val="none"/>
        </w:rPr>
        <w:t>Including lived experience meaningfully in training is important.</w:t>
      </w:r>
    </w:p>
    <w:p w14:paraId="7BFF46E8" w14:textId="7F3FD66C" w:rsidR="005D3133"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r>
        <w:rPr>
          <w:rFonts w:ascii="Calibri" w:eastAsia="Times New Roman" w:hAnsi="Calibri" w:cs="Calibri"/>
          <w:kern w:val="0"/>
          <w:sz w:val="22"/>
          <w:szCs w:val="22"/>
          <w:lang w:eastAsia="en-GB"/>
          <w14:ligatures w14:val="none"/>
        </w:rPr>
        <w:t>S</w:t>
      </w:r>
      <w:r w:rsidRPr="006D5DDD">
        <w:rPr>
          <w:rFonts w:ascii="Calibri" w:eastAsia="Times New Roman" w:hAnsi="Calibri" w:cs="Calibri"/>
          <w:kern w:val="0"/>
          <w:sz w:val="22"/>
          <w:szCs w:val="22"/>
          <w:lang w:eastAsia="en-GB"/>
          <w14:ligatures w14:val="none"/>
        </w:rPr>
        <w:t>trengths-based practice resources similarly emphasise learning approaches that help staff develop “what matters” conversations in practice, including tailoring conversations, using creative and varied ways of finding out and recording what is important to the person, and linking this to outcomes-focused planning and recording</w:t>
      </w:r>
      <w:r>
        <w:rPr>
          <w:rFonts w:ascii="Calibri" w:eastAsia="Times New Roman" w:hAnsi="Calibri" w:cs="Calibri"/>
          <w:kern w:val="0"/>
          <w:sz w:val="22"/>
          <w:szCs w:val="22"/>
          <w:lang w:eastAsia="en-GB"/>
          <w14:ligatures w14:val="none"/>
        </w:rPr>
        <w:t>.</w:t>
      </w:r>
    </w:p>
    <w:p w14:paraId="0B502680" w14:textId="719826F6" w:rsidR="005D3133"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r>
        <w:rPr>
          <w:rFonts w:ascii="Calibri" w:eastAsia="Times New Roman" w:hAnsi="Calibri" w:cs="Calibri"/>
          <w:kern w:val="0"/>
          <w:sz w:val="22"/>
          <w:szCs w:val="22"/>
          <w:lang w:eastAsia="en-GB"/>
          <w14:ligatures w14:val="none"/>
        </w:rPr>
        <w:t>W</w:t>
      </w:r>
      <w:r w:rsidRPr="006D5DDD">
        <w:rPr>
          <w:rFonts w:ascii="Calibri" w:eastAsia="Times New Roman" w:hAnsi="Calibri" w:cs="Calibri"/>
          <w:kern w:val="0"/>
          <w:sz w:val="22"/>
          <w:szCs w:val="22"/>
          <w:lang w:eastAsia="en-GB"/>
          <w14:ligatures w14:val="none"/>
        </w:rPr>
        <w:t xml:space="preserve">orkplace learning and effective supervision </w:t>
      </w:r>
      <w:r>
        <w:rPr>
          <w:rFonts w:ascii="Calibri" w:eastAsia="Times New Roman" w:hAnsi="Calibri" w:cs="Calibri"/>
          <w:kern w:val="0"/>
          <w:sz w:val="22"/>
          <w:szCs w:val="22"/>
          <w:lang w:eastAsia="en-GB"/>
          <w14:ligatures w14:val="none"/>
        </w:rPr>
        <w:t xml:space="preserve">are also important for </w:t>
      </w:r>
      <w:r w:rsidRPr="006D5DDD">
        <w:rPr>
          <w:rFonts w:ascii="Calibri" w:eastAsia="Times New Roman" w:hAnsi="Calibri" w:cs="Calibri"/>
          <w:kern w:val="0"/>
          <w:sz w:val="22"/>
          <w:szCs w:val="22"/>
          <w:lang w:eastAsia="en-GB"/>
          <w14:ligatures w14:val="none"/>
        </w:rPr>
        <w:t>reinforcing capability after initial training</w:t>
      </w:r>
      <w:r>
        <w:rPr>
          <w:rFonts w:ascii="Calibri" w:eastAsia="Times New Roman" w:hAnsi="Calibri" w:cs="Calibri"/>
          <w:kern w:val="0"/>
          <w:sz w:val="22"/>
          <w:szCs w:val="22"/>
          <w:lang w:eastAsia="en-GB"/>
          <w14:ligatures w14:val="none"/>
        </w:rPr>
        <w:t>. O</w:t>
      </w:r>
      <w:r w:rsidRPr="006D5DDD">
        <w:rPr>
          <w:rFonts w:ascii="Calibri" w:eastAsia="Times New Roman" w:hAnsi="Calibri" w:cs="Calibri"/>
          <w:kern w:val="0"/>
          <w:sz w:val="22"/>
          <w:szCs w:val="22"/>
          <w:lang w:eastAsia="en-GB"/>
          <w14:ligatures w14:val="none"/>
        </w:rPr>
        <w:t>ngoing reflection, follow-up support and opportunities to apply learning in practice are important to sustained change</w:t>
      </w:r>
      <w:r>
        <w:rPr>
          <w:rFonts w:ascii="Calibri" w:eastAsia="Times New Roman" w:hAnsi="Calibri" w:cs="Calibri"/>
          <w:kern w:val="0"/>
          <w:sz w:val="22"/>
          <w:szCs w:val="22"/>
          <w:lang w:eastAsia="en-GB"/>
          <w14:ligatures w14:val="none"/>
        </w:rPr>
        <w:t>.</w:t>
      </w:r>
    </w:p>
    <w:p w14:paraId="1CE1A57D" w14:textId="77777777" w:rsidR="005D3133"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Taken together, this suggests that effective SDS training is likely to work best when it is offered in a variety of ways and includes interaction, case discussion, applied exercises, examples of completed plans or recording formats, and follow-up or booster support to help embed learning in practice.  </w:t>
      </w:r>
    </w:p>
    <w:p w14:paraId="414FB4B0" w14:textId="77777777" w:rsidR="005D3133" w:rsidRPr="006D5DDD" w:rsidRDefault="005D3133" w:rsidP="005D3133">
      <w:pPr>
        <w:spacing w:before="100" w:beforeAutospacing="1" w:after="100" w:afterAutospacing="1"/>
        <w:rPr>
          <w:rFonts w:ascii="Calibri" w:eastAsia="Times New Roman" w:hAnsi="Calibri" w:cs="Calibri"/>
          <w:kern w:val="0"/>
          <w:sz w:val="22"/>
          <w:szCs w:val="22"/>
          <w:lang w:eastAsia="en-GB"/>
          <w14:ligatures w14:val="none"/>
        </w:rPr>
      </w:pPr>
    </w:p>
    <w:p w14:paraId="31A56766" w14:textId="6A5804AD" w:rsidR="00B71DFD" w:rsidRPr="00B71DFD" w:rsidRDefault="00B71DFD" w:rsidP="00B71DFD">
      <w:pPr>
        <w:pStyle w:val="Heading3"/>
        <w:rPr>
          <w:rFonts w:ascii="Calibri" w:eastAsia="Times New Roman" w:hAnsi="Calibri" w:cs="Calibri"/>
          <w:color w:val="212121"/>
          <w:sz w:val="22"/>
          <w:szCs w:val="22"/>
          <w:lang w:eastAsia="en-GB"/>
        </w:rPr>
      </w:pPr>
      <w:r>
        <w:t>Potential actions</w:t>
      </w:r>
      <w:r w:rsidR="005A1F3F">
        <w:t xml:space="preserve"> </w:t>
      </w:r>
    </w:p>
    <w:p w14:paraId="5D716E55" w14:textId="7C129A88" w:rsidR="00B71DFD" w:rsidRPr="005D3133" w:rsidRDefault="00B71DFD" w:rsidP="006F11DA">
      <w:pPr>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Based on the evidence</w:t>
      </w:r>
      <w:r w:rsidR="00823AE7" w:rsidRPr="005D3133">
        <w:rPr>
          <w:rFonts w:ascii="Calibri" w:eastAsia="Times New Roman" w:hAnsi="Calibri" w:cs="Calibri"/>
          <w:kern w:val="0"/>
          <w:sz w:val="22"/>
          <w:szCs w:val="22"/>
          <w:lang w:eastAsia="en-GB"/>
          <w14:ligatures w14:val="none"/>
        </w:rPr>
        <w:t xml:space="preserve"> reviewed</w:t>
      </w:r>
      <w:r w:rsidRPr="005D3133">
        <w:rPr>
          <w:rFonts w:ascii="Calibri" w:eastAsia="Times New Roman" w:hAnsi="Calibri" w:cs="Calibri"/>
          <w:kern w:val="0"/>
          <w:sz w:val="22"/>
          <w:szCs w:val="22"/>
          <w:lang w:eastAsia="en-GB"/>
          <w14:ligatures w14:val="none"/>
        </w:rPr>
        <w:t>, the following actions are proposed:</w:t>
      </w:r>
      <w:r w:rsidRPr="005D3133">
        <w:rPr>
          <w:rFonts w:ascii="Calibri" w:eastAsia="Times New Roman" w:hAnsi="Calibri" w:cs="Calibri"/>
          <w:color w:val="212121"/>
          <w:kern w:val="0"/>
          <w:sz w:val="22"/>
          <w:szCs w:val="22"/>
          <w:lang w:eastAsia="en-GB"/>
          <w14:ligatures w14:val="none"/>
        </w:rPr>
        <w:t xml:space="preserve"> </w:t>
      </w:r>
    </w:p>
    <w:p w14:paraId="63A28BD1" w14:textId="77777777" w:rsidR="00B71DFD" w:rsidRPr="005D3133" w:rsidRDefault="00B71DFD" w:rsidP="006F11DA">
      <w:pPr>
        <w:numPr>
          <w:ilvl w:val="0"/>
          <w:numId w:val="31"/>
        </w:numPr>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Develop a regional SDS workforce development framework</w:t>
      </w:r>
    </w:p>
    <w:p w14:paraId="495EFDAE" w14:textId="77777777" w:rsidR="005D3133" w:rsidRPr="005D3133" w:rsidRDefault="00B71DFD" w:rsidP="005D3133">
      <w:pPr>
        <w:ind w:left="72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This should set out core capabilities and provide a shared approach across Trusts and programmes of care.</w:t>
      </w:r>
    </w:p>
    <w:p w14:paraId="7160FFB0" w14:textId="77777777" w:rsidR="006F11DA" w:rsidRPr="005D3133" w:rsidRDefault="006F11DA" w:rsidP="006F11DA">
      <w:pPr>
        <w:rPr>
          <w:rFonts w:ascii="Calibri" w:eastAsia="Times New Roman" w:hAnsi="Calibri" w:cs="Calibri"/>
          <w:kern w:val="0"/>
          <w:sz w:val="22"/>
          <w:szCs w:val="22"/>
          <w:lang w:eastAsia="en-GB"/>
          <w14:ligatures w14:val="none"/>
        </w:rPr>
      </w:pPr>
    </w:p>
    <w:p w14:paraId="7C53EAA7" w14:textId="77777777" w:rsidR="00B71DFD" w:rsidRPr="005D3133" w:rsidRDefault="00B71DFD" w:rsidP="006F11DA">
      <w:pPr>
        <w:numPr>
          <w:ilvl w:val="0"/>
          <w:numId w:val="31"/>
        </w:numPr>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Use a tiered approach to workforce development</w:t>
      </w:r>
    </w:p>
    <w:p w14:paraId="40B4EA8E" w14:textId="77777777" w:rsidR="005D3133" w:rsidRDefault="00B71DFD" w:rsidP="005D3133">
      <w:pPr>
        <w:ind w:left="72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Learning should reflect different roles, from frontline staff to senior leaders.</w:t>
      </w:r>
    </w:p>
    <w:p w14:paraId="7F89D34B" w14:textId="77777777" w:rsidR="005D3133" w:rsidRPr="005D3133" w:rsidRDefault="005D3133" w:rsidP="005D3133">
      <w:pPr>
        <w:ind w:left="720"/>
        <w:rPr>
          <w:rFonts w:ascii="Calibri" w:eastAsia="Times New Roman" w:hAnsi="Calibri" w:cs="Calibri"/>
          <w:kern w:val="0"/>
          <w:sz w:val="22"/>
          <w:szCs w:val="22"/>
          <w:lang w:eastAsia="en-GB"/>
          <w14:ligatures w14:val="none"/>
        </w:rPr>
      </w:pPr>
    </w:p>
    <w:p w14:paraId="056BB95E" w14:textId="77777777" w:rsidR="005D3133" w:rsidRPr="005D3133" w:rsidRDefault="005D3133" w:rsidP="005D3133">
      <w:pPr>
        <w:pStyle w:val="ListParagraph"/>
        <w:numPr>
          <w:ilvl w:val="0"/>
          <w:numId w:val="31"/>
        </w:numPr>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Align training content and delivery with core competencies and effective learning approaches</w:t>
      </w:r>
    </w:p>
    <w:p w14:paraId="2CDC220A" w14:textId="17BB3EFA" w:rsidR="005D3133" w:rsidRPr="005D3133" w:rsidRDefault="005D3133" w:rsidP="005D3133">
      <w:pPr>
        <w:pStyle w:val="ListParagraph"/>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Training should reflect the competencies required at each tier and use a range of practical and interactive approaches, including case discussion, applied exercises, examples of completed plans or recording formats, and follow-up or booster support to help embed learning in practice.</w:t>
      </w:r>
    </w:p>
    <w:p w14:paraId="23033568" w14:textId="77777777" w:rsidR="005D3133" w:rsidRPr="005D3133" w:rsidRDefault="005D3133" w:rsidP="005D3133">
      <w:pPr>
        <w:pStyle w:val="ListParagraph"/>
        <w:rPr>
          <w:rFonts w:ascii="Calibri" w:eastAsia="Times New Roman" w:hAnsi="Calibri" w:cs="Calibri"/>
          <w:kern w:val="0"/>
          <w:sz w:val="22"/>
          <w:szCs w:val="22"/>
          <w:lang w:eastAsia="en-GB"/>
          <w14:ligatures w14:val="none"/>
        </w:rPr>
      </w:pPr>
    </w:p>
    <w:p w14:paraId="4220006F" w14:textId="77777777" w:rsidR="00B71DFD" w:rsidRPr="005D3133" w:rsidRDefault="00B71DFD" w:rsidP="006F11DA">
      <w:pPr>
        <w:numPr>
          <w:ilvl w:val="0"/>
          <w:numId w:val="31"/>
        </w:numPr>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Make workforce development system-wide</w:t>
      </w:r>
    </w:p>
    <w:p w14:paraId="60BD823B" w14:textId="354A1DC6" w:rsidR="00B71DFD" w:rsidRPr="005D3133" w:rsidRDefault="00B71DFD" w:rsidP="006F11DA">
      <w:pPr>
        <w:ind w:left="720"/>
        <w:rPr>
          <w:rFonts w:ascii="Calibri" w:eastAsia="Times New Roman" w:hAnsi="Calibri" w:cs="Calibri"/>
          <w:kern w:val="0"/>
          <w:sz w:val="22"/>
          <w:szCs w:val="22"/>
          <w:lang w:eastAsia="en-GB"/>
          <w14:ligatures w14:val="none"/>
        </w:rPr>
      </w:pPr>
      <w:r w:rsidRPr="005D3133">
        <w:rPr>
          <w:rFonts w:ascii="Calibri" w:eastAsia="Times New Roman" w:hAnsi="Calibri" w:cs="Calibri"/>
          <w:color w:val="000000"/>
          <w:kern w:val="0"/>
          <w:sz w:val="22"/>
          <w:szCs w:val="22"/>
          <w:lang w:eastAsia="en-GB"/>
          <w14:ligatures w14:val="none"/>
        </w:rPr>
        <w:t xml:space="preserve">SDS requires capability beyond social care staff.  </w:t>
      </w:r>
      <w:r w:rsidRPr="005D3133">
        <w:rPr>
          <w:rFonts w:ascii="Calibri" w:eastAsia="Times New Roman" w:hAnsi="Calibri" w:cs="Calibri"/>
          <w:kern w:val="0"/>
          <w:sz w:val="22"/>
          <w:szCs w:val="22"/>
          <w:lang w:eastAsia="en-GB"/>
          <w14:ligatures w14:val="none"/>
        </w:rPr>
        <w:t>It should also include health staff, commissioners, providers, non-statutory staff and those supporting people to navigate SDS.</w:t>
      </w:r>
    </w:p>
    <w:p w14:paraId="7898C865" w14:textId="77777777" w:rsidR="006F11DA" w:rsidRPr="005D3133" w:rsidRDefault="006F11DA" w:rsidP="006F11DA">
      <w:pPr>
        <w:ind w:left="720"/>
        <w:rPr>
          <w:rFonts w:ascii="Calibri" w:eastAsia="Times New Roman" w:hAnsi="Calibri" w:cs="Calibri"/>
          <w:kern w:val="0"/>
          <w:sz w:val="22"/>
          <w:szCs w:val="22"/>
          <w:lang w:eastAsia="en-GB"/>
          <w14:ligatures w14:val="none"/>
        </w:rPr>
      </w:pPr>
    </w:p>
    <w:p w14:paraId="6139FE74" w14:textId="77777777" w:rsidR="00B71DFD" w:rsidRPr="005D3133" w:rsidRDefault="00B71DFD" w:rsidP="006F11DA">
      <w:pPr>
        <w:numPr>
          <w:ilvl w:val="0"/>
          <w:numId w:val="31"/>
        </w:numPr>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Focus on person-centred conversations and support planning</w:t>
      </w:r>
    </w:p>
    <w:p w14:paraId="08E38CFF" w14:textId="77777777" w:rsidR="00B71DFD" w:rsidRPr="005D3133" w:rsidRDefault="00B71DFD" w:rsidP="006F11DA">
      <w:pPr>
        <w:ind w:left="72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These should be central to all workforce development activity.</w:t>
      </w:r>
    </w:p>
    <w:p w14:paraId="5275A2F1" w14:textId="77777777" w:rsidR="006F11DA" w:rsidRPr="005D3133" w:rsidRDefault="006F11DA" w:rsidP="006F11DA">
      <w:pPr>
        <w:ind w:left="720"/>
        <w:rPr>
          <w:rFonts w:ascii="Calibri" w:eastAsia="Times New Roman" w:hAnsi="Calibri" w:cs="Calibri"/>
          <w:kern w:val="0"/>
          <w:sz w:val="22"/>
          <w:szCs w:val="22"/>
          <w:lang w:eastAsia="en-GB"/>
          <w14:ligatures w14:val="none"/>
        </w:rPr>
      </w:pPr>
    </w:p>
    <w:p w14:paraId="1CA4D8D9" w14:textId="77777777" w:rsidR="00B71DFD" w:rsidRPr="005D3133" w:rsidRDefault="00B71DFD" w:rsidP="006F11DA">
      <w:pPr>
        <w:numPr>
          <w:ilvl w:val="0"/>
          <w:numId w:val="31"/>
        </w:numPr>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Link workforce development to wider system change</w:t>
      </w:r>
    </w:p>
    <w:p w14:paraId="63F2271C" w14:textId="5BD33DFA" w:rsidR="006F11DA" w:rsidRPr="005D3133" w:rsidRDefault="00B71DFD" w:rsidP="006F11DA">
      <w:pPr>
        <w:ind w:left="72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 xml:space="preserve">This includes supervision, governance, commissioning and recording systems </w:t>
      </w:r>
      <w:r w:rsidRPr="005D3133">
        <w:rPr>
          <w:rFonts w:ascii="Calibri" w:eastAsia="Times New Roman" w:hAnsi="Calibri" w:cs="Calibri"/>
          <w:color w:val="000000"/>
          <w:kern w:val="0"/>
          <w:sz w:val="22"/>
          <w:szCs w:val="22"/>
          <w:lang w:eastAsia="en-GB"/>
          <w14:ligatures w14:val="none"/>
        </w:rPr>
        <w:t>to ensure that good practice is supported by system design</w:t>
      </w:r>
      <w:r w:rsidRPr="005D3133">
        <w:rPr>
          <w:rFonts w:ascii="Calibri" w:eastAsia="Times New Roman" w:hAnsi="Calibri" w:cs="Calibri"/>
          <w:kern w:val="0"/>
          <w:sz w:val="22"/>
          <w:szCs w:val="22"/>
          <w:lang w:eastAsia="en-GB"/>
          <w14:ligatures w14:val="none"/>
        </w:rPr>
        <w:t>.</w:t>
      </w:r>
    </w:p>
    <w:p w14:paraId="360CD4EC" w14:textId="77777777" w:rsidR="006F11DA" w:rsidRPr="005D3133" w:rsidRDefault="006F11DA" w:rsidP="006F11DA">
      <w:pPr>
        <w:ind w:left="720"/>
        <w:rPr>
          <w:rFonts w:ascii="Calibri" w:eastAsia="Times New Roman" w:hAnsi="Calibri" w:cs="Calibri"/>
          <w:kern w:val="0"/>
          <w:sz w:val="22"/>
          <w:szCs w:val="22"/>
          <w:lang w:eastAsia="en-GB"/>
          <w14:ligatures w14:val="none"/>
        </w:rPr>
      </w:pPr>
    </w:p>
    <w:p w14:paraId="2877722F" w14:textId="77777777" w:rsidR="006F11DA" w:rsidRPr="005D3133" w:rsidRDefault="00B71DFD" w:rsidP="006F11DA">
      <w:pPr>
        <w:numPr>
          <w:ilvl w:val="0"/>
          <w:numId w:val="31"/>
        </w:numPr>
        <w:rPr>
          <w:rFonts w:ascii="Calibri" w:eastAsia="Times New Roman" w:hAnsi="Calibri" w:cs="Calibri"/>
          <w:color w:val="000000"/>
          <w:kern w:val="0"/>
          <w:sz w:val="22"/>
          <w:szCs w:val="22"/>
          <w:lang w:eastAsia="en-GB"/>
          <w14:ligatures w14:val="none"/>
        </w:rPr>
      </w:pPr>
      <w:r w:rsidRPr="005D3133">
        <w:rPr>
          <w:rFonts w:ascii="Calibri" w:eastAsia="Times New Roman" w:hAnsi="Calibri" w:cs="Calibri"/>
          <w:b/>
          <w:bCs/>
          <w:color w:val="000000"/>
          <w:kern w:val="0"/>
          <w:sz w:val="22"/>
          <w:szCs w:val="22"/>
          <w:lang w:eastAsia="en-GB"/>
          <w14:ligatures w14:val="none"/>
        </w:rPr>
        <w:t>Embed risk enablement in training, supervision and organisational processes</w:t>
      </w:r>
    </w:p>
    <w:p w14:paraId="5E2EDCC0" w14:textId="0AC7A7A7" w:rsidR="006F11DA" w:rsidRPr="005D3133" w:rsidRDefault="00B71DFD" w:rsidP="006F11DA">
      <w:pPr>
        <w:ind w:left="720"/>
        <w:rPr>
          <w:rFonts w:ascii="Calibri" w:eastAsia="Times New Roman" w:hAnsi="Calibri" w:cs="Calibri"/>
          <w:color w:val="000000"/>
          <w:kern w:val="0"/>
          <w:sz w:val="22"/>
          <w:szCs w:val="22"/>
          <w:lang w:eastAsia="en-GB"/>
          <w14:ligatures w14:val="none"/>
        </w:rPr>
      </w:pPr>
      <w:r w:rsidRPr="005D3133">
        <w:rPr>
          <w:rFonts w:ascii="Calibri" w:eastAsia="Times New Roman" w:hAnsi="Calibri" w:cs="Calibri"/>
          <w:color w:val="000000"/>
          <w:kern w:val="0"/>
          <w:sz w:val="22"/>
          <w:szCs w:val="22"/>
          <w:lang w:eastAsia="en-GB"/>
          <w14:ligatures w14:val="none"/>
        </w:rPr>
        <w:t>Staff need support to balance choice, control and safeguarding in practice.</w:t>
      </w:r>
    </w:p>
    <w:p w14:paraId="64B640E6" w14:textId="77777777" w:rsidR="006F11DA" w:rsidRPr="005D3133" w:rsidRDefault="006F11DA" w:rsidP="006F11DA">
      <w:pPr>
        <w:rPr>
          <w:rFonts w:ascii="Calibri" w:eastAsia="Times New Roman" w:hAnsi="Calibri" w:cs="Calibri"/>
          <w:color w:val="000000"/>
          <w:kern w:val="0"/>
          <w:sz w:val="22"/>
          <w:szCs w:val="22"/>
          <w:lang w:eastAsia="en-GB"/>
          <w14:ligatures w14:val="none"/>
        </w:rPr>
      </w:pPr>
    </w:p>
    <w:p w14:paraId="59720705" w14:textId="47ECB028" w:rsidR="006F11DA" w:rsidRPr="005D3133" w:rsidRDefault="006F11DA" w:rsidP="006F11DA">
      <w:pPr>
        <w:numPr>
          <w:ilvl w:val="0"/>
          <w:numId w:val="31"/>
        </w:numPr>
        <w:rPr>
          <w:rFonts w:ascii="Calibri" w:eastAsia="Times New Roman" w:hAnsi="Calibri" w:cs="Calibri"/>
          <w:color w:val="000000"/>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Promote regional collaboration and shared learning</w:t>
      </w:r>
      <w:r w:rsidRPr="005D3133">
        <w:rPr>
          <w:rFonts w:ascii="Calibri" w:eastAsia="Times New Roman" w:hAnsi="Calibri" w:cs="Calibri"/>
          <w:kern w:val="0"/>
          <w:sz w:val="22"/>
          <w:szCs w:val="22"/>
          <w:lang w:eastAsia="en-GB"/>
          <w14:ligatures w14:val="none"/>
        </w:rPr>
        <w:t xml:space="preserve"> </w:t>
      </w:r>
    </w:p>
    <w:p w14:paraId="1FFFE400" w14:textId="51FD93BC" w:rsidR="006F11DA" w:rsidRPr="005D3133" w:rsidRDefault="006F11DA" w:rsidP="006F11DA">
      <w:pPr>
        <w:ind w:left="72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This includes communities of practice and shared resources across Trusts.</w:t>
      </w:r>
    </w:p>
    <w:p w14:paraId="7CEF07FE" w14:textId="77777777" w:rsidR="006F11DA" w:rsidRPr="006F11DA" w:rsidRDefault="006F11DA" w:rsidP="006F11DA">
      <w:pPr>
        <w:spacing w:after="180"/>
        <w:rPr>
          <w:rFonts w:ascii="Calibri" w:eastAsia="Times New Roman" w:hAnsi="Calibri" w:cs="Calibri"/>
          <w:color w:val="000000"/>
          <w:kern w:val="0"/>
          <w:sz w:val="22"/>
          <w:szCs w:val="22"/>
          <w:lang w:eastAsia="en-GB"/>
          <w14:ligatures w14:val="none"/>
        </w:rPr>
      </w:pPr>
    </w:p>
    <w:p w14:paraId="5975D4E2" w14:textId="4B81D41B" w:rsidR="00A458FD" w:rsidRPr="006F11DA" w:rsidRDefault="00B71DFD" w:rsidP="00B71DFD">
      <w:pPr>
        <w:spacing w:after="242"/>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 xml:space="preserve">These </w:t>
      </w:r>
      <w:r w:rsidR="006F11DA">
        <w:rPr>
          <w:rFonts w:ascii="Calibri" w:eastAsia="Times New Roman" w:hAnsi="Calibri" w:cs="Calibri"/>
          <w:color w:val="212121"/>
          <w:kern w:val="0"/>
          <w:sz w:val="22"/>
          <w:szCs w:val="22"/>
          <w:lang w:eastAsia="en-GB"/>
          <w14:ligatures w14:val="none"/>
        </w:rPr>
        <w:t xml:space="preserve">proposed </w:t>
      </w:r>
      <w:r w:rsidRPr="006F11DA">
        <w:rPr>
          <w:rFonts w:ascii="Calibri" w:eastAsia="Times New Roman" w:hAnsi="Calibri" w:cs="Calibri"/>
          <w:color w:val="212121"/>
          <w:kern w:val="0"/>
          <w:sz w:val="22"/>
          <w:szCs w:val="22"/>
          <w:lang w:eastAsia="en-GB"/>
          <w14:ligatures w14:val="none"/>
        </w:rPr>
        <w:t>action</w:t>
      </w:r>
      <w:r w:rsidR="0054728D" w:rsidRPr="006F11DA">
        <w:rPr>
          <w:rFonts w:ascii="Calibri" w:eastAsia="Times New Roman" w:hAnsi="Calibri" w:cs="Calibri"/>
          <w:color w:val="212121"/>
          <w:kern w:val="0"/>
          <w:sz w:val="22"/>
          <w:szCs w:val="22"/>
          <w:lang w:eastAsia="en-GB"/>
          <w14:ligatures w14:val="none"/>
        </w:rPr>
        <w:t>s</w:t>
      </w:r>
      <w:r w:rsidRPr="006F11DA">
        <w:rPr>
          <w:rFonts w:ascii="Calibri" w:eastAsia="Times New Roman" w:hAnsi="Calibri" w:cs="Calibri"/>
          <w:color w:val="212121"/>
          <w:kern w:val="0"/>
          <w:sz w:val="22"/>
          <w:szCs w:val="22"/>
          <w:lang w:eastAsia="en-GB"/>
          <w14:ligatures w14:val="none"/>
        </w:rPr>
        <w:t xml:space="preserve"> </w:t>
      </w:r>
      <w:r w:rsidR="006F11DA">
        <w:rPr>
          <w:rFonts w:ascii="Calibri" w:eastAsia="Times New Roman" w:hAnsi="Calibri" w:cs="Calibri"/>
          <w:color w:val="212121"/>
          <w:kern w:val="0"/>
          <w:sz w:val="22"/>
          <w:szCs w:val="22"/>
          <w:lang w:eastAsia="en-GB"/>
          <w14:ligatures w14:val="none"/>
        </w:rPr>
        <w:t>should</w:t>
      </w:r>
      <w:r w:rsidRPr="006F11DA">
        <w:rPr>
          <w:rFonts w:ascii="Calibri" w:eastAsia="Times New Roman" w:hAnsi="Calibri" w:cs="Calibri"/>
          <w:color w:val="212121"/>
          <w:kern w:val="0"/>
          <w:sz w:val="22"/>
          <w:szCs w:val="22"/>
          <w:lang w:eastAsia="en-GB"/>
          <w14:ligatures w14:val="none"/>
        </w:rPr>
        <w:t xml:space="preserve"> be further informed by the findings from the IMPACT Supported planning project, particularly the survey of HSC staff across all adult programmes of care, and the audit of current staff training programmes being undertaken with the SDS leads.</w:t>
      </w:r>
    </w:p>
    <w:p w14:paraId="6BC300BA" w14:textId="0560FE68" w:rsidR="00A458FD" w:rsidRPr="006C05CA" w:rsidRDefault="00A458FD" w:rsidP="65C0AA5C"/>
    <w:p w14:paraId="345C66D4" w14:textId="77777777" w:rsidR="00AF12A9" w:rsidRPr="00866BD3" w:rsidRDefault="00AF12A9" w:rsidP="00AF12A9">
      <w:pPr>
        <w:pStyle w:val="Heading3"/>
        <w:spacing w:before="100" w:beforeAutospacing="1" w:after="100" w:afterAutospacing="1"/>
        <w:rPr>
          <w:rFonts w:ascii="Calibri" w:eastAsia="Times New Roman" w:hAnsi="Calibri" w:cs="Calibri"/>
          <w:b/>
          <w:bCs/>
          <w:color w:val="212121"/>
          <w:sz w:val="22"/>
          <w:szCs w:val="22"/>
          <w:lang w:eastAsia="en-GB"/>
        </w:rPr>
      </w:pPr>
      <w:bookmarkStart w:id="2" w:name="_Toc226625920"/>
      <w:bookmarkStart w:id="3" w:name="_Toc1044984386"/>
      <w:r>
        <w:t>Limitations of the Evidence Base</w:t>
      </w:r>
      <w:bookmarkEnd w:id="2"/>
    </w:p>
    <w:p w14:paraId="57E1A403" w14:textId="308B8E14" w:rsidR="00AF12A9" w:rsidRPr="00480E14" w:rsidRDefault="00AF12A9" w:rsidP="00AF12A9">
      <w:pPr>
        <w:spacing w:before="100" w:beforeAutospacing="1" w:after="100" w:afterAutospacing="1"/>
        <w:rPr>
          <w:rFonts w:ascii="Calibri" w:eastAsia="Times New Roman" w:hAnsi="Calibri" w:cs="Calibri"/>
          <w:color w:val="212121"/>
          <w:kern w:val="0"/>
          <w:sz w:val="22"/>
          <w:szCs w:val="22"/>
          <w:lang w:eastAsia="en-GB"/>
          <w14:ligatures w14:val="none"/>
        </w:rPr>
      </w:pPr>
      <w:r w:rsidRPr="00480E14">
        <w:rPr>
          <w:rFonts w:ascii="Calibri" w:eastAsia="Times New Roman" w:hAnsi="Calibri" w:cs="Calibri"/>
          <w:color w:val="212121"/>
          <w:kern w:val="0"/>
          <w:sz w:val="22"/>
          <w:szCs w:val="22"/>
          <w:lang w:eastAsia="en-GB"/>
          <w14:ligatures w14:val="none"/>
        </w:rPr>
        <w:t>It should be noted that the evidence base for SDS workforce development contains several limitations. The evidence base is stronger on what SDS practice requires than on which training approaches are most effective.  Much literature consists of policy frameworks, inspection reports and implementation guidance rather than controlled studies evaluating specific training models.</w:t>
      </w:r>
    </w:p>
    <w:p w14:paraId="065DEE7F" w14:textId="77777777" w:rsidR="00AF12A9" w:rsidRPr="006C05CA" w:rsidRDefault="00AF12A9" w:rsidP="00AF12A9">
      <w:pPr>
        <w:spacing w:before="100" w:beforeAutospacing="1" w:after="100" w:afterAutospacing="1"/>
        <w:rPr>
          <w:rFonts w:ascii="Calibri" w:eastAsia="Times New Roman" w:hAnsi="Calibri" w:cs="Calibri"/>
          <w:color w:val="212121"/>
          <w:kern w:val="0"/>
          <w:sz w:val="22"/>
          <w:szCs w:val="22"/>
          <w:lang w:eastAsia="en-GB"/>
          <w14:ligatures w14:val="none"/>
        </w:rPr>
      </w:pPr>
      <w:r w:rsidRPr="00480E14">
        <w:rPr>
          <w:rFonts w:ascii="Calibri" w:eastAsia="Times New Roman" w:hAnsi="Calibri" w:cs="Calibri"/>
          <w:color w:val="212121"/>
          <w:kern w:val="0"/>
          <w:sz w:val="22"/>
          <w:szCs w:val="22"/>
          <w:lang w:eastAsia="en-GB"/>
          <w14:ligatures w14:val="none"/>
        </w:rPr>
        <w:t>International differences limit direct transferability.  International SDS systems differ substantially in their legal frameworks, funding mechanisms and service structures. While lessons can be transferred, they must be adapted carefully to loc</w:t>
      </w:r>
      <w:r w:rsidRPr="006C05CA">
        <w:rPr>
          <w:rFonts w:ascii="Calibri" w:eastAsia="Times New Roman" w:hAnsi="Calibri" w:cs="Calibri"/>
          <w:color w:val="212121"/>
          <w:kern w:val="0"/>
          <w:sz w:val="22"/>
          <w:szCs w:val="22"/>
          <w:lang w:eastAsia="en-GB"/>
          <w14:ligatures w14:val="none"/>
        </w:rPr>
        <w:t>al contexts.</w:t>
      </w:r>
    </w:p>
    <w:p w14:paraId="1C4798BA" w14:textId="77777777" w:rsidR="00C3782B" w:rsidRDefault="00AF12A9" w:rsidP="00AF12A9">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There is also limited Northern Ireland specific evidence. This highlights the need for local evaluation alongside workforce development initiatives.  </w:t>
      </w:r>
    </w:p>
    <w:p w14:paraId="3FE430A6" w14:textId="4F8AD62F" w:rsidR="006F11DA" w:rsidRPr="00AF12A9" w:rsidRDefault="00AF12A9" w:rsidP="00AF12A9">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A </w:t>
      </w:r>
      <w:r>
        <w:rPr>
          <w:rFonts w:ascii="Calibri" w:eastAsia="Times New Roman" w:hAnsi="Calibri" w:cs="Calibri"/>
          <w:color w:val="212121"/>
          <w:kern w:val="0"/>
          <w:sz w:val="22"/>
          <w:szCs w:val="22"/>
          <w:lang w:eastAsia="en-GB"/>
          <w14:ligatures w14:val="none"/>
        </w:rPr>
        <w:t>useful next</w:t>
      </w:r>
      <w:r w:rsidRPr="006C05CA">
        <w:rPr>
          <w:rFonts w:ascii="Calibri" w:eastAsia="Times New Roman" w:hAnsi="Calibri" w:cs="Calibri"/>
          <w:color w:val="212121"/>
          <w:kern w:val="0"/>
          <w:sz w:val="22"/>
          <w:szCs w:val="22"/>
          <w:lang w:eastAsia="en-GB"/>
          <w14:ligatures w14:val="none"/>
        </w:rPr>
        <w:t xml:space="preserve"> step would be to review whatever evaluation evidence exists around the current training programmes both in terms of processes used and outcomes achieved.</w:t>
      </w:r>
      <w:bookmarkEnd w:id="3"/>
    </w:p>
    <w:sectPr w:rsidR="006F11DA" w:rsidRPr="00AF12A9">
      <w:headerReference w:type="default" r:id="rId7"/>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DD4AE" w14:textId="77777777" w:rsidR="00C84AFC" w:rsidRDefault="00C84AFC" w:rsidP="00727E57">
      <w:r>
        <w:separator/>
      </w:r>
    </w:p>
  </w:endnote>
  <w:endnote w:type="continuationSeparator" w:id="0">
    <w:p w14:paraId="20215F09" w14:textId="77777777" w:rsidR="00C84AFC" w:rsidRDefault="00C84AFC" w:rsidP="0072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Caption1">
    <w:altName w:val="Cambria"/>
    <w:panose1 w:val="020B06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5207991"/>
      <w:docPartObj>
        <w:docPartGallery w:val="Page Numbers (Bottom of Page)"/>
        <w:docPartUnique/>
      </w:docPartObj>
    </w:sdtPr>
    <w:sdtContent>
      <w:p w14:paraId="5C1729BA" w14:textId="079A7CBA" w:rsidR="006F11DA" w:rsidRDefault="006F11DA" w:rsidP="001153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5B6B87" w14:textId="77777777" w:rsidR="006C05CA" w:rsidRDefault="006C05CA" w:rsidP="006F11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6612795"/>
      <w:docPartObj>
        <w:docPartGallery w:val="Page Numbers (Bottom of Page)"/>
        <w:docPartUnique/>
      </w:docPartObj>
    </w:sdtPr>
    <w:sdtContent>
      <w:p w14:paraId="1437812F" w14:textId="1097EAE7" w:rsidR="006F11DA" w:rsidRDefault="006F11DA" w:rsidP="001153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75929D91" w14:textId="77777777" w:rsidR="006C05CA" w:rsidRDefault="006C05CA" w:rsidP="006F11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DCB53" w14:textId="77777777" w:rsidR="00C84AFC" w:rsidRDefault="00C84AFC" w:rsidP="00727E57">
      <w:r>
        <w:separator/>
      </w:r>
    </w:p>
  </w:footnote>
  <w:footnote w:type="continuationSeparator" w:id="0">
    <w:p w14:paraId="0C210115" w14:textId="77777777" w:rsidR="00C84AFC" w:rsidRDefault="00C84AFC" w:rsidP="00727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8D29" w14:textId="77777777" w:rsidR="00020BB9" w:rsidRDefault="00020BB9" w:rsidP="00020BB9">
    <w:pPr>
      <w:pStyle w:val="Default"/>
    </w:pPr>
    <w:r>
      <w:rPr>
        <w:rFonts w:ascii="Times New Roman" w:hAnsi="Times New Roman" w:cs="Times New Roman"/>
        <w:noProof/>
        <w:lang w:eastAsia="en-GB"/>
      </w:rPr>
      <mc:AlternateContent>
        <mc:Choice Requires="wps">
          <w:drawing>
            <wp:anchor distT="45720" distB="45720" distL="114300" distR="114300" simplePos="0" relativeHeight="251660288" behindDoc="0" locked="0" layoutInCell="1" allowOverlap="1" wp14:anchorId="56A7297F" wp14:editId="65EFD18A">
              <wp:simplePos x="0" y="0"/>
              <wp:positionH relativeFrom="margin">
                <wp:align>left</wp:align>
              </wp:positionH>
              <wp:positionV relativeFrom="paragraph">
                <wp:posOffset>9525</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251F89BE" w14:textId="77777777" w:rsidR="00020BB9" w:rsidRDefault="00020BB9" w:rsidP="00020BB9">
                          <w:pPr>
                            <w:pStyle w:val="Header"/>
                            <w:rPr>
                              <w:rFonts w:ascii="Arial Black" w:hAnsi="Arial Black"/>
                              <w:color w:val="A84D98"/>
                            </w:rPr>
                          </w:pPr>
                          <w:r>
                            <w:rPr>
                              <w:rFonts w:ascii="Arial Black" w:hAnsi="Arial Black"/>
                              <w:color w:val="A84D98"/>
                            </w:rPr>
                            <w:t xml:space="preserve">“Good support isn’t just about </w:t>
                          </w:r>
                        </w:p>
                        <w:p w14:paraId="45F41757" w14:textId="77777777" w:rsidR="00020BB9" w:rsidRDefault="00020BB9" w:rsidP="00020BB9">
                          <w:pPr>
                            <w:pStyle w:val="Header"/>
                            <w:rPr>
                              <w:rFonts w:ascii="Arial Black" w:hAnsi="Arial Black"/>
                              <w:color w:val="A84D98"/>
                            </w:rPr>
                          </w:pPr>
                          <w:r>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A7297F" id="_x0000_t202" coordsize="21600,21600" o:spt="202" path="m,l,21600r21600,l21600,xe">
              <v:stroke joinstyle="miter"/>
              <v:path gradientshapeok="t" o:connecttype="rect"/>
            </v:shapetype>
            <v:shape id="Text Box 2" o:spid="_x0000_s1026" type="#_x0000_t202" style="position:absolute;margin-left:0;margin-top:.75pt;width:228.75pt;height:45.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" filled="f" stroked="f">
              <v:textbox>
                <w:txbxContent>
                  <w:p w14:paraId="251F89BE" w14:textId="77777777" w:rsidR="00020BB9" w:rsidRDefault="00020BB9" w:rsidP="00020BB9">
                    <w:pPr>
                      <w:pStyle w:val="Header"/>
                      <w:rPr>
                        <w:rFonts w:ascii="Arial Black" w:hAnsi="Arial Black"/>
                        <w:color w:val="A84D98"/>
                      </w:rPr>
                    </w:pPr>
                    <w:r>
                      <w:rPr>
                        <w:rFonts w:ascii="Arial Black" w:hAnsi="Arial Black"/>
                        <w:color w:val="A84D98"/>
                      </w:rPr>
                      <w:t xml:space="preserve">“Good support isn’t just about </w:t>
                    </w:r>
                  </w:p>
                  <w:p w14:paraId="45F41757" w14:textId="77777777" w:rsidR="00020BB9" w:rsidRDefault="00020BB9" w:rsidP="00020BB9">
                    <w:pPr>
                      <w:pStyle w:val="Header"/>
                      <w:rPr>
                        <w:rFonts w:ascii="Arial Black" w:hAnsi="Arial Black"/>
                        <w:color w:val="A84D98"/>
                      </w:rPr>
                    </w:pPr>
                    <w:r>
                      <w:rPr>
                        <w:rFonts w:ascii="Arial Black" w:hAnsi="Arial Black"/>
                        <w:color w:val="A84D98"/>
                      </w:rPr>
                      <w:t>‘services’ – it’s about having a life.”</w:t>
                    </w:r>
                  </w:p>
                </w:txbxContent>
              </v:textbox>
              <w10:wrap type="square" anchorx="margin"/>
            </v:shape>
          </w:pict>
        </mc:Fallback>
      </mc:AlternateContent>
    </w:r>
    <w:r>
      <w:rPr>
        <w:noProof/>
      </w:rPr>
      <w:drawing>
        <wp:anchor distT="0" distB="0" distL="114300" distR="114300" simplePos="0" relativeHeight="251659264" behindDoc="0" locked="0" layoutInCell="1" allowOverlap="1" wp14:anchorId="3C468442" wp14:editId="784CABBE">
          <wp:simplePos x="0" y="0"/>
          <wp:positionH relativeFrom="column">
            <wp:posOffset>3803650</wp:posOffset>
          </wp:positionH>
          <wp:positionV relativeFrom="paragraph">
            <wp:posOffset>-273685</wp:posOffset>
          </wp:positionV>
          <wp:extent cx="2329815" cy="945515"/>
          <wp:effectExtent l="0" t="0" r="0" b="6985"/>
          <wp:wrapSquare wrapText="bothSides"/>
          <wp:docPr id="52256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7214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815" cy="945515"/>
                  </a:xfrm>
                  <a:prstGeom prst="rect">
                    <a:avLst/>
                  </a:prstGeom>
                  <a:noFill/>
                </pic:spPr>
              </pic:pic>
            </a:graphicData>
          </a:graphic>
          <wp14:sizeRelH relativeFrom="margin">
            <wp14:pctWidth>0</wp14:pctWidth>
          </wp14:sizeRelH>
          <wp14:sizeRelV relativeFrom="margin">
            <wp14:pctHeight>0</wp14:pctHeight>
          </wp14:sizeRelV>
        </wp:anchor>
      </w:drawing>
    </w:r>
  </w:p>
  <w:p w14:paraId="74BF3D7B" w14:textId="75A7F548" w:rsidR="00E929D9" w:rsidRDefault="00E929D9" w:rsidP="00E929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B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41A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6743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859A8"/>
    <w:multiLevelType w:val="hybridMultilevel"/>
    <w:tmpl w:val="982AF8CC"/>
    <w:lvl w:ilvl="0" w:tplc="FFFFFFF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422D2"/>
    <w:multiLevelType w:val="multilevel"/>
    <w:tmpl w:val="0D0A9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894E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82E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4614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97F23"/>
    <w:multiLevelType w:val="hybridMultilevel"/>
    <w:tmpl w:val="7360A910"/>
    <w:lvl w:ilvl="0" w:tplc="FFFFFFF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8C14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11E4F"/>
    <w:multiLevelType w:val="multilevel"/>
    <w:tmpl w:val="8862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821D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40B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C820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838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37FE6"/>
    <w:multiLevelType w:val="hybridMultilevel"/>
    <w:tmpl w:val="CC4E61A4"/>
    <w:lvl w:ilvl="0" w:tplc="FFFFFFFF">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2431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E13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55B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E239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97505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8177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3354AE"/>
    <w:multiLevelType w:val="multilevel"/>
    <w:tmpl w:val="BCF4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9A6CDB"/>
    <w:multiLevelType w:val="multilevel"/>
    <w:tmpl w:val="93BCFF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592F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0C65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A650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E7A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F54E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8F33F0"/>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7C4B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854091">
    <w:abstractNumId w:val="10"/>
  </w:num>
  <w:num w:numId="2" w16cid:durableId="1865510204">
    <w:abstractNumId w:val="4"/>
  </w:num>
  <w:num w:numId="3" w16cid:durableId="1790973265">
    <w:abstractNumId w:val="15"/>
  </w:num>
  <w:num w:numId="4" w16cid:durableId="1479376312">
    <w:abstractNumId w:val="3"/>
  </w:num>
  <w:num w:numId="5" w16cid:durableId="1022508554">
    <w:abstractNumId w:val="8"/>
  </w:num>
  <w:num w:numId="6" w16cid:durableId="196698220">
    <w:abstractNumId w:val="13"/>
  </w:num>
  <w:num w:numId="7" w16cid:durableId="29457540">
    <w:abstractNumId w:val="18"/>
  </w:num>
  <w:num w:numId="8" w16cid:durableId="691227939">
    <w:abstractNumId w:val="26"/>
  </w:num>
  <w:num w:numId="9" w16cid:durableId="1572229426">
    <w:abstractNumId w:val="7"/>
  </w:num>
  <w:num w:numId="10" w16cid:durableId="1440104634">
    <w:abstractNumId w:val="27"/>
  </w:num>
  <w:num w:numId="11" w16cid:durableId="1477452296">
    <w:abstractNumId w:val="28"/>
  </w:num>
  <w:num w:numId="12" w16cid:durableId="1696617808">
    <w:abstractNumId w:val="21"/>
  </w:num>
  <w:num w:numId="13" w16cid:durableId="1577788566">
    <w:abstractNumId w:val="6"/>
  </w:num>
  <w:num w:numId="14" w16cid:durableId="1358312911">
    <w:abstractNumId w:val="0"/>
  </w:num>
  <w:num w:numId="15" w16cid:durableId="1283265801">
    <w:abstractNumId w:val="2"/>
  </w:num>
  <w:num w:numId="16" w16cid:durableId="786698614">
    <w:abstractNumId w:val="12"/>
  </w:num>
  <w:num w:numId="17" w16cid:durableId="2071613771">
    <w:abstractNumId w:val="25"/>
  </w:num>
  <w:num w:numId="18" w16cid:durableId="760954102">
    <w:abstractNumId w:val="9"/>
  </w:num>
  <w:num w:numId="19" w16cid:durableId="820317833">
    <w:abstractNumId w:val="5"/>
  </w:num>
  <w:num w:numId="20" w16cid:durableId="420372746">
    <w:abstractNumId w:val="30"/>
  </w:num>
  <w:num w:numId="21" w16cid:durableId="1501382753">
    <w:abstractNumId w:val="14"/>
  </w:num>
  <w:num w:numId="22" w16cid:durableId="1358699247">
    <w:abstractNumId w:val="1"/>
  </w:num>
  <w:num w:numId="23" w16cid:durableId="271473642">
    <w:abstractNumId w:val="24"/>
  </w:num>
  <w:num w:numId="24" w16cid:durableId="130485739">
    <w:abstractNumId w:val="11"/>
  </w:num>
  <w:num w:numId="25" w16cid:durableId="2144695053">
    <w:abstractNumId w:val="16"/>
  </w:num>
  <w:num w:numId="26" w16cid:durableId="281769828">
    <w:abstractNumId w:val="19"/>
  </w:num>
  <w:num w:numId="27" w16cid:durableId="686641735">
    <w:abstractNumId w:val="17"/>
  </w:num>
  <w:num w:numId="28" w16cid:durableId="605114378">
    <w:abstractNumId w:val="20"/>
  </w:num>
  <w:num w:numId="29" w16cid:durableId="1326006405">
    <w:abstractNumId w:val="29"/>
  </w:num>
  <w:num w:numId="30" w16cid:durableId="803887205">
    <w:abstractNumId w:val="22"/>
  </w:num>
  <w:num w:numId="31" w16cid:durableId="53138246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8F"/>
    <w:rsid w:val="00001269"/>
    <w:rsid w:val="00003EDF"/>
    <w:rsid w:val="000041A5"/>
    <w:rsid w:val="000043D0"/>
    <w:rsid w:val="00005EBF"/>
    <w:rsid w:val="0000782D"/>
    <w:rsid w:val="00010AE6"/>
    <w:rsid w:val="0001110A"/>
    <w:rsid w:val="0001372B"/>
    <w:rsid w:val="00013E9D"/>
    <w:rsid w:val="0002005C"/>
    <w:rsid w:val="00020BB9"/>
    <w:rsid w:val="00021597"/>
    <w:rsid w:val="00021C67"/>
    <w:rsid w:val="000236C8"/>
    <w:rsid w:val="00026634"/>
    <w:rsid w:val="00026DE5"/>
    <w:rsid w:val="00026F29"/>
    <w:rsid w:val="000305BB"/>
    <w:rsid w:val="000319EC"/>
    <w:rsid w:val="00033648"/>
    <w:rsid w:val="00035FCD"/>
    <w:rsid w:val="00036DE7"/>
    <w:rsid w:val="0004199C"/>
    <w:rsid w:val="00042BF0"/>
    <w:rsid w:val="00043563"/>
    <w:rsid w:val="00043F86"/>
    <w:rsid w:val="00045840"/>
    <w:rsid w:val="0004692D"/>
    <w:rsid w:val="00052053"/>
    <w:rsid w:val="00052BA5"/>
    <w:rsid w:val="00052F15"/>
    <w:rsid w:val="00054275"/>
    <w:rsid w:val="000545B9"/>
    <w:rsid w:val="0005514C"/>
    <w:rsid w:val="0005620B"/>
    <w:rsid w:val="000564E9"/>
    <w:rsid w:val="0005734E"/>
    <w:rsid w:val="00057C2E"/>
    <w:rsid w:val="00061F16"/>
    <w:rsid w:val="00062EF8"/>
    <w:rsid w:val="00063234"/>
    <w:rsid w:val="00063F79"/>
    <w:rsid w:val="000652DB"/>
    <w:rsid w:val="00070E36"/>
    <w:rsid w:val="00072845"/>
    <w:rsid w:val="000732A9"/>
    <w:rsid w:val="00073457"/>
    <w:rsid w:val="00073BFD"/>
    <w:rsid w:val="00074807"/>
    <w:rsid w:val="00074F4E"/>
    <w:rsid w:val="0007603B"/>
    <w:rsid w:val="00077585"/>
    <w:rsid w:val="000818CA"/>
    <w:rsid w:val="0008287C"/>
    <w:rsid w:val="00082F11"/>
    <w:rsid w:val="00083B91"/>
    <w:rsid w:val="00085A99"/>
    <w:rsid w:val="0008619C"/>
    <w:rsid w:val="000867BE"/>
    <w:rsid w:val="00090C1C"/>
    <w:rsid w:val="00090D31"/>
    <w:rsid w:val="0009146F"/>
    <w:rsid w:val="0009267C"/>
    <w:rsid w:val="00092AE4"/>
    <w:rsid w:val="0009588F"/>
    <w:rsid w:val="00095D7E"/>
    <w:rsid w:val="00095FF0"/>
    <w:rsid w:val="000969F1"/>
    <w:rsid w:val="000A144D"/>
    <w:rsid w:val="000A2C78"/>
    <w:rsid w:val="000A3015"/>
    <w:rsid w:val="000A4EB3"/>
    <w:rsid w:val="000A5351"/>
    <w:rsid w:val="000A53EA"/>
    <w:rsid w:val="000A69ED"/>
    <w:rsid w:val="000A6C0B"/>
    <w:rsid w:val="000B2E49"/>
    <w:rsid w:val="000B34CE"/>
    <w:rsid w:val="000B48CF"/>
    <w:rsid w:val="000B61E5"/>
    <w:rsid w:val="000C0216"/>
    <w:rsid w:val="000C1E31"/>
    <w:rsid w:val="000C2E68"/>
    <w:rsid w:val="000C32DB"/>
    <w:rsid w:val="000C486D"/>
    <w:rsid w:val="000C54AA"/>
    <w:rsid w:val="000C660C"/>
    <w:rsid w:val="000D201A"/>
    <w:rsid w:val="000D282F"/>
    <w:rsid w:val="000D4E7E"/>
    <w:rsid w:val="000D54C6"/>
    <w:rsid w:val="000D5D6B"/>
    <w:rsid w:val="000D5F66"/>
    <w:rsid w:val="000D63E3"/>
    <w:rsid w:val="000E1301"/>
    <w:rsid w:val="000E1686"/>
    <w:rsid w:val="000E2112"/>
    <w:rsid w:val="000E2501"/>
    <w:rsid w:val="000E2B98"/>
    <w:rsid w:val="000E36D8"/>
    <w:rsid w:val="000E3C23"/>
    <w:rsid w:val="000E3CE7"/>
    <w:rsid w:val="000E416B"/>
    <w:rsid w:val="000E6358"/>
    <w:rsid w:val="000E70F6"/>
    <w:rsid w:val="000E711A"/>
    <w:rsid w:val="000E7B40"/>
    <w:rsid w:val="000F0447"/>
    <w:rsid w:val="000F1063"/>
    <w:rsid w:val="000F20A8"/>
    <w:rsid w:val="000F2293"/>
    <w:rsid w:val="000F23F7"/>
    <w:rsid w:val="000F3A65"/>
    <w:rsid w:val="000F3B6D"/>
    <w:rsid w:val="000F3B91"/>
    <w:rsid w:val="000F3E3B"/>
    <w:rsid w:val="000F4DE1"/>
    <w:rsid w:val="000F55C2"/>
    <w:rsid w:val="000F5D08"/>
    <w:rsid w:val="000F5FCD"/>
    <w:rsid w:val="000F68B1"/>
    <w:rsid w:val="000F7201"/>
    <w:rsid w:val="00100624"/>
    <w:rsid w:val="00101385"/>
    <w:rsid w:val="001014BA"/>
    <w:rsid w:val="001017F0"/>
    <w:rsid w:val="00102644"/>
    <w:rsid w:val="00104663"/>
    <w:rsid w:val="00104B92"/>
    <w:rsid w:val="00107DC0"/>
    <w:rsid w:val="00110859"/>
    <w:rsid w:val="001115B0"/>
    <w:rsid w:val="00111C34"/>
    <w:rsid w:val="00113E1C"/>
    <w:rsid w:val="00114771"/>
    <w:rsid w:val="00114D23"/>
    <w:rsid w:val="00114ED2"/>
    <w:rsid w:val="00115592"/>
    <w:rsid w:val="00115993"/>
    <w:rsid w:val="001160E6"/>
    <w:rsid w:val="00116B9C"/>
    <w:rsid w:val="00117805"/>
    <w:rsid w:val="00117D75"/>
    <w:rsid w:val="00120209"/>
    <w:rsid w:val="00120735"/>
    <w:rsid w:val="00121A3C"/>
    <w:rsid w:val="00123DDB"/>
    <w:rsid w:val="001248D2"/>
    <w:rsid w:val="001270DC"/>
    <w:rsid w:val="00132F47"/>
    <w:rsid w:val="00136470"/>
    <w:rsid w:val="00136987"/>
    <w:rsid w:val="00136A81"/>
    <w:rsid w:val="001374C8"/>
    <w:rsid w:val="00140B92"/>
    <w:rsid w:val="001412CB"/>
    <w:rsid w:val="00141D50"/>
    <w:rsid w:val="00144B65"/>
    <w:rsid w:val="00145FCD"/>
    <w:rsid w:val="00146F30"/>
    <w:rsid w:val="00147666"/>
    <w:rsid w:val="00150FE8"/>
    <w:rsid w:val="00152C31"/>
    <w:rsid w:val="00154990"/>
    <w:rsid w:val="00154A07"/>
    <w:rsid w:val="00154BCD"/>
    <w:rsid w:val="001556BC"/>
    <w:rsid w:val="00155B27"/>
    <w:rsid w:val="00156AB6"/>
    <w:rsid w:val="00157354"/>
    <w:rsid w:val="00157B21"/>
    <w:rsid w:val="00157EFE"/>
    <w:rsid w:val="00161DB0"/>
    <w:rsid w:val="0016293C"/>
    <w:rsid w:val="00162943"/>
    <w:rsid w:val="00163394"/>
    <w:rsid w:val="0016481A"/>
    <w:rsid w:val="0016544F"/>
    <w:rsid w:val="00166DD3"/>
    <w:rsid w:val="00167610"/>
    <w:rsid w:val="00171479"/>
    <w:rsid w:val="001715DE"/>
    <w:rsid w:val="00171FEC"/>
    <w:rsid w:val="00173B2D"/>
    <w:rsid w:val="00173E42"/>
    <w:rsid w:val="001749B0"/>
    <w:rsid w:val="00174A5D"/>
    <w:rsid w:val="0017523D"/>
    <w:rsid w:val="001758B3"/>
    <w:rsid w:val="00177495"/>
    <w:rsid w:val="00177CB4"/>
    <w:rsid w:val="00180499"/>
    <w:rsid w:val="00180C19"/>
    <w:rsid w:val="001811EF"/>
    <w:rsid w:val="001818FC"/>
    <w:rsid w:val="00182B18"/>
    <w:rsid w:val="001835AB"/>
    <w:rsid w:val="00183ACA"/>
    <w:rsid w:val="001844FE"/>
    <w:rsid w:val="00184912"/>
    <w:rsid w:val="00184C64"/>
    <w:rsid w:val="001850CD"/>
    <w:rsid w:val="00185F71"/>
    <w:rsid w:val="00186FE5"/>
    <w:rsid w:val="00187BFF"/>
    <w:rsid w:val="00190653"/>
    <w:rsid w:val="001924AD"/>
    <w:rsid w:val="00194C67"/>
    <w:rsid w:val="00195431"/>
    <w:rsid w:val="001A0E88"/>
    <w:rsid w:val="001A2737"/>
    <w:rsid w:val="001A4845"/>
    <w:rsid w:val="001A5A3C"/>
    <w:rsid w:val="001A684B"/>
    <w:rsid w:val="001A7B30"/>
    <w:rsid w:val="001B0680"/>
    <w:rsid w:val="001B577E"/>
    <w:rsid w:val="001B5B44"/>
    <w:rsid w:val="001B635F"/>
    <w:rsid w:val="001B6426"/>
    <w:rsid w:val="001B6C36"/>
    <w:rsid w:val="001B70D3"/>
    <w:rsid w:val="001B7773"/>
    <w:rsid w:val="001C0045"/>
    <w:rsid w:val="001C1580"/>
    <w:rsid w:val="001C260D"/>
    <w:rsid w:val="001C2795"/>
    <w:rsid w:val="001C3BF6"/>
    <w:rsid w:val="001C5A94"/>
    <w:rsid w:val="001D02DB"/>
    <w:rsid w:val="001D036B"/>
    <w:rsid w:val="001D09EA"/>
    <w:rsid w:val="001D10D9"/>
    <w:rsid w:val="001D1745"/>
    <w:rsid w:val="001D3CB1"/>
    <w:rsid w:val="001D471B"/>
    <w:rsid w:val="001D48D9"/>
    <w:rsid w:val="001D5272"/>
    <w:rsid w:val="001E1B62"/>
    <w:rsid w:val="001E3268"/>
    <w:rsid w:val="001E3AC8"/>
    <w:rsid w:val="001E4A8E"/>
    <w:rsid w:val="001E4C26"/>
    <w:rsid w:val="001E55FA"/>
    <w:rsid w:val="001E5799"/>
    <w:rsid w:val="001E74BE"/>
    <w:rsid w:val="001F06B7"/>
    <w:rsid w:val="001F0EB8"/>
    <w:rsid w:val="001F314D"/>
    <w:rsid w:val="001F3739"/>
    <w:rsid w:val="001F5A0D"/>
    <w:rsid w:val="001F73F8"/>
    <w:rsid w:val="0020071A"/>
    <w:rsid w:val="002008DB"/>
    <w:rsid w:val="002016CA"/>
    <w:rsid w:val="002037B7"/>
    <w:rsid w:val="00205B5E"/>
    <w:rsid w:val="00210DD0"/>
    <w:rsid w:val="002129A2"/>
    <w:rsid w:val="00212F42"/>
    <w:rsid w:val="002132D9"/>
    <w:rsid w:val="00213B75"/>
    <w:rsid w:val="002146AB"/>
    <w:rsid w:val="00214B23"/>
    <w:rsid w:val="00214DC9"/>
    <w:rsid w:val="0021676B"/>
    <w:rsid w:val="00216E91"/>
    <w:rsid w:val="00217A3E"/>
    <w:rsid w:val="00220795"/>
    <w:rsid w:val="00223428"/>
    <w:rsid w:val="00223BDC"/>
    <w:rsid w:val="00224342"/>
    <w:rsid w:val="002256DF"/>
    <w:rsid w:val="00227B35"/>
    <w:rsid w:val="002367E8"/>
    <w:rsid w:val="002369F8"/>
    <w:rsid w:val="00236E7F"/>
    <w:rsid w:val="002414C4"/>
    <w:rsid w:val="002429E9"/>
    <w:rsid w:val="00243013"/>
    <w:rsid w:val="002448B7"/>
    <w:rsid w:val="00245123"/>
    <w:rsid w:val="002459C1"/>
    <w:rsid w:val="00247220"/>
    <w:rsid w:val="00247665"/>
    <w:rsid w:val="00247A75"/>
    <w:rsid w:val="00251939"/>
    <w:rsid w:val="00252574"/>
    <w:rsid w:val="00252A84"/>
    <w:rsid w:val="00255C7F"/>
    <w:rsid w:val="002566D8"/>
    <w:rsid w:val="00257B94"/>
    <w:rsid w:val="0026077C"/>
    <w:rsid w:val="002608A3"/>
    <w:rsid w:val="002629CE"/>
    <w:rsid w:val="0026544B"/>
    <w:rsid w:val="002656BF"/>
    <w:rsid w:val="00266698"/>
    <w:rsid w:val="00267A27"/>
    <w:rsid w:val="002726EB"/>
    <w:rsid w:val="00274160"/>
    <w:rsid w:val="00274742"/>
    <w:rsid w:val="002770B9"/>
    <w:rsid w:val="0027720F"/>
    <w:rsid w:val="00282339"/>
    <w:rsid w:val="002829F8"/>
    <w:rsid w:val="00282D43"/>
    <w:rsid w:val="00283277"/>
    <w:rsid w:val="00283751"/>
    <w:rsid w:val="00283B8A"/>
    <w:rsid w:val="00285089"/>
    <w:rsid w:val="00287373"/>
    <w:rsid w:val="002904D6"/>
    <w:rsid w:val="00290737"/>
    <w:rsid w:val="00290AC7"/>
    <w:rsid w:val="002913D8"/>
    <w:rsid w:val="00291A83"/>
    <w:rsid w:val="00291F18"/>
    <w:rsid w:val="00291FA5"/>
    <w:rsid w:val="002939E1"/>
    <w:rsid w:val="002944DE"/>
    <w:rsid w:val="002961EF"/>
    <w:rsid w:val="002970C5"/>
    <w:rsid w:val="00297B0F"/>
    <w:rsid w:val="002A3B75"/>
    <w:rsid w:val="002A7FB7"/>
    <w:rsid w:val="002B02A4"/>
    <w:rsid w:val="002B24B7"/>
    <w:rsid w:val="002B2543"/>
    <w:rsid w:val="002B2969"/>
    <w:rsid w:val="002B3A16"/>
    <w:rsid w:val="002B3AF4"/>
    <w:rsid w:val="002B3C9E"/>
    <w:rsid w:val="002B49A4"/>
    <w:rsid w:val="002B5B74"/>
    <w:rsid w:val="002B6C7E"/>
    <w:rsid w:val="002B7EC8"/>
    <w:rsid w:val="002C0364"/>
    <w:rsid w:val="002C0D89"/>
    <w:rsid w:val="002C11A9"/>
    <w:rsid w:val="002C13B7"/>
    <w:rsid w:val="002C13DF"/>
    <w:rsid w:val="002C1870"/>
    <w:rsid w:val="002C18BE"/>
    <w:rsid w:val="002C1F85"/>
    <w:rsid w:val="002C2583"/>
    <w:rsid w:val="002C3241"/>
    <w:rsid w:val="002C33A0"/>
    <w:rsid w:val="002C3E80"/>
    <w:rsid w:val="002C42B2"/>
    <w:rsid w:val="002C680E"/>
    <w:rsid w:val="002C70EE"/>
    <w:rsid w:val="002D046D"/>
    <w:rsid w:val="002D069A"/>
    <w:rsid w:val="002D17F1"/>
    <w:rsid w:val="002D1C06"/>
    <w:rsid w:val="002D1FFA"/>
    <w:rsid w:val="002D37E1"/>
    <w:rsid w:val="002D44B7"/>
    <w:rsid w:val="002D46A8"/>
    <w:rsid w:val="002D4C96"/>
    <w:rsid w:val="002D5218"/>
    <w:rsid w:val="002D5F3E"/>
    <w:rsid w:val="002E046D"/>
    <w:rsid w:val="002E04E0"/>
    <w:rsid w:val="002E3DB0"/>
    <w:rsid w:val="002E46B2"/>
    <w:rsid w:val="002E6100"/>
    <w:rsid w:val="002E7984"/>
    <w:rsid w:val="002E79A6"/>
    <w:rsid w:val="002F0349"/>
    <w:rsid w:val="002F0642"/>
    <w:rsid w:val="002F16E6"/>
    <w:rsid w:val="002F26B6"/>
    <w:rsid w:val="002F7022"/>
    <w:rsid w:val="0031241A"/>
    <w:rsid w:val="003137D5"/>
    <w:rsid w:val="00314330"/>
    <w:rsid w:val="003213B4"/>
    <w:rsid w:val="00321562"/>
    <w:rsid w:val="00322853"/>
    <w:rsid w:val="00323676"/>
    <w:rsid w:val="00324CE4"/>
    <w:rsid w:val="0032576F"/>
    <w:rsid w:val="00326449"/>
    <w:rsid w:val="00327BCB"/>
    <w:rsid w:val="0033123D"/>
    <w:rsid w:val="003316BC"/>
    <w:rsid w:val="00331D1B"/>
    <w:rsid w:val="00332570"/>
    <w:rsid w:val="00332BC3"/>
    <w:rsid w:val="00332DAC"/>
    <w:rsid w:val="00333600"/>
    <w:rsid w:val="003354F8"/>
    <w:rsid w:val="00337E67"/>
    <w:rsid w:val="00340A26"/>
    <w:rsid w:val="003425DE"/>
    <w:rsid w:val="0034373B"/>
    <w:rsid w:val="00343870"/>
    <w:rsid w:val="00343BD5"/>
    <w:rsid w:val="00343CD1"/>
    <w:rsid w:val="0034408E"/>
    <w:rsid w:val="0034575D"/>
    <w:rsid w:val="00345EC1"/>
    <w:rsid w:val="003474BB"/>
    <w:rsid w:val="00350010"/>
    <w:rsid w:val="00352961"/>
    <w:rsid w:val="003534D2"/>
    <w:rsid w:val="00354EB1"/>
    <w:rsid w:val="00355797"/>
    <w:rsid w:val="00356854"/>
    <w:rsid w:val="00356CE0"/>
    <w:rsid w:val="00356F52"/>
    <w:rsid w:val="003575D3"/>
    <w:rsid w:val="00360D8D"/>
    <w:rsid w:val="00361FD9"/>
    <w:rsid w:val="003623D0"/>
    <w:rsid w:val="00363205"/>
    <w:rsid w:val="00364D34"/>
    <w:rsid w:val="003673A0"/>
    <w:rsid w:val="00370224"/>
    <w:rsid w:val="003705FA"/>
    <w:rsid w:val="00372243"/>
    <w:rsid w:val="00375014"/>
    <w:rsid w:val="003761EC"/>
    <w:rsid w:val="00381A2C"/>
    <w:rsid w:val="0038298F"/>
    <w:rsid w:val="00383605"/>
    <w:rsid w:val="00383C04"/>
    <w:rsid w:val="00387453"/>
    <w:rsid w:val="0039075F"/>
    <w:rsid w:val="00392191"/>
    <w:rsid w:val="00392323"/>
    <w:rsid w:val="00393B1F"/>
    <w:rsid w:val="00394B98"/>
    <w:rsid w:val="00397281"/>
    <w:rsid w:val="00397428"/>
    <w:rsid w:val="003A3F09"/>
    <w:rsid w:val="003A4205"/>
    <w:rsid w:val="003A4A7E"/>
    <w:rsid w:val="003A4D4C"/>
    <w:rsid w:val="003A5294"/>
    <w:rsid w:val="003A616D"/>
    <w:rsid w:val="003A74AE"/>
    <w:rsid w:val="003A7A29"/>
    <w:rsid w:val="003A7B35"/>
    <w:rsid w:val="003B3961"/>
    <w:rsid w:val="003B3E15"/>
    <w:rsid w:val="003B5A7D"/>
    <w:rsid w:val="003B68C1"/>
    <w:rsid w:val="003B71E7"/>
    <w:rsid w:val="003B7BE4"/>
    <w:rsid w:val="003C31AA"/>
    <w:rsid w:val="003C4203"/>
    <w:rsid w:val="003C5D65"/>
    <w:rsid w:val="003C6EB4"/>
    <w:rsid w:val="003C719F"/>
    <w:rsid w:val="003C7544"/>
    <w:rsid w:val="003C7C72"/>
    <w:rsid w:val="003D0324"/>
    <w:rsid w:val="003D05E7"/>
    <w:rsid w:val="003D2C97"/>
    <w:rsid w:val="003D447B"/>
    <w:rsid w:val="003D6D58"/>
    <w:rsid w:val="003D72E0"/>
    <w:rsid w:val="003E01FC"/>
    <w:rsid w:val="003E02E6"/>
    <w:rsid w:val="003E061F"/>
    <w:rsid w:val="003E094D"/>
    <w:rsid w:val="003E09C7"/>
    <w:rsid w:val="003E0FF5"/>
    <w:rsid w:val="003E45FE"/>
    <w:rsid w:val="003E51E1"/>
    <w:rsid w:val="003E5FF6"/>
    <w:rsid w:val="003E6AE4"/>
    <w:rsid w:val="003E7144"/>
    <w:rsid w:val="003E7ADC"/>
    <w:rsid w:val="003E7C85"/>
    <w:rsid w:val="003F0523"/>
    <w:rsid w:val="003F124D"/>
    <w:rsid w:val="003F127C"/>
    <w:rsid w:val="003F1EAC"/>
    <w:rsid w:val="003F5877"/>
    <w:rsid w:val="00400DE2"/>
    <w:rsid w:val="0040161C"/>
    <w:rsid w:val="00401D9B"/>
    <w:rsid w:val="004023B8"/>
    <w:rsid w:val="00405734"/>
    <w:rsid w:val="00407509"/>
    <w:rsid w:val="00407D68"/>
    <w:rsid w:val="00410DB4"/>
    <w:rsid w:val="00411C3C"/>
    <w:rsid w:val="004123A4"/>
    <w:rsid w:val="00414981"/>
    <w:rsid w:val="00415BB9"/>
    <w:rsid w:val="004164F8"/>
    <w:rsid w:val="00420BD7"/>
    <w:rsid w:val="00422F70"/>
    <w:rsid w:val="004246A4"/>
    <w:rsid w:val="00425A63"/>
    <w:rsid w:val="00427A04"/>
    <w:rsid w:val="004318B7"/>
    <w:rsid w:val="00433171"/>
    <w:rsid w:val="004340C4"/>
    <w:rsid w:val="00434681"/>
    <w:rsid w:val="00434DAD"/>
    <w:rsid w:val="00442FAC"/>
    <w:rsid w:val="004456CA"/>
    <w:rsid w:val="0044692B"/>
    <w:rsid w:val="00446B67"/>
    <w:rsid w:val="00451860"/>
    <w:rsid w:val="00451F3B"/>
    <w:rsid w:val="004523E1"/>
    <w:rsid w:val="004528F3"/>
    <w:rsid w:val="004535B1"/>
    <w:rsid w:val="00453928"/>
    <w:rsid w:val="00453982"/>
    <w:rsid w:val="00453D54"/>
    <w:rsid w:val="00454B6C"/>
    <w:rsid w:val="00455244"/>
    <w:rsid w:val="004554E5"/>
    <w:rsid w:val="0045558D"/>
    <w:rsid w:val="00455F49"/>
    <w:rsid w:val="004562F7"/>
    <w:rsid w:val="004568AE"/>
    <w:rsid w:val="00456D1B"/>
    <w:rsid w:val="0045771B"/>
    <w:rsid w:val="00463A8B"/>
    <w:rsid w:val="00465804"/>
    <w:rsid w:val="00466367"/>
    <w:rsid w:val="00466B84"/>
    <w:rsid w:val="00466CB1"/>
    <w:rsid w:val="00466F60"/>
    <w:rsid w:val="00466FD7"/>
    <w:rsid w:val="00470349"/>
    <w:rsid w:val="00471066"/>
    <w:rsid w:val="00471587"/>
    <w:rsid w:val="00471650"/>
    <w:rsid w:val="00473614"/>
    <w:rsid w:val="004736BC"/>
    <w:rsid w:val="004743D2"/>
    <w:rsid w:val="00474721"/>
    <w:rsid w:val="0047579A"/>
    <w:rsid w:val="004767F6"/>
    <w:rsid w:val="00477FAA"/>
    <w:rsid w:val="00480E14"/>
    <w:rsid w:val="00481D78"/>
    <w:rsid w:val="00484101"/>
    <w:rsid w:val="00484231"/>
    <w:rsid w:val="004859FE"/>
    <w:rsid w:val="00485F4D"/>
    <w:rsid w:val="00486031"/>
    <w:rsid w:val="00490BBF"/>
    <w:rsid w:val="00490E0E"/>
    <w:rsid w:val="0049169F"/>
    <w:rsid w:val="00491A7B"/>
    <w:rsid w:val="00492D19"/>
    <w:rsid w:val="004930F4"/>
    <w:rsid w:val="0049364A"/>
    <w:rsid w:val="004946AC"/>
    <w:rsid w:val="00494DDF"/>
    <w:rsid w:val="0049668E"/>
    <w:rsid w:val="0049734B"/>
    <w:rsid w:val="00497932"/>
    <w:rsid w:val="004A20C0"/>
    <w:rsid w:val="004A245E"/>
    <w:rsid w:val="004A3A03"/>
    <w:rsid w:val="004B2792"/>
    <w:rsid w:val="004B2F06"/>
    <w:rsid w:val="004B34A8"/>
    <w:rsid w:val="004B6587"/>
    <w:rsid w:val="004B6CFF"/>
    <w:rsid w:val="004B7704"/>
    <w:rsid w:val="004B79FD"/>
    <w:rsid w:val="004C07A2"/>
    <w:rsid w:val="004C15B4"/>
    <w:rsid w:val="004C50E9"/>
    <w:rsid w:val="004C58EE"/>
    <w:rsid w:val="004C5DC1"/>
    <w:rsid w:val="004C6B4F"/>
    <w:rsid w:val="004C7F09"/>
    <w:rsid w:val="004D0120"/>
    <w:rsid w:val="004D1BFB"/>
    <w:rsid w:val="004D53F3"/>
    <w:rsid w:val="004D6107"/>
    <w:rsid w:val="004E180F"/>
    <w:rsid w:val="004E278A"/>
    <w:rsid w:val="004E5787"/>
    <w:rsid w:val="004E70A4"/>
    <w:rsid w:val="004F1B3E"/>
    <w:rsid w:val="004F1CD9"/>
    <w:rsid w:val="004F25F0"/>
    <w:rsid w:val="004F334E"/>
    <w:rsid w:val="004F3E98"/>
    <w:rsid w:val="004F55FC"/>
    <w:rsid w:val="004F57AE"/>
    <w:rsid w:val="004F57FD"/>
    <w:rsid w:val="004F5A64"/>
    <w:rsid w:val="004F7EB7"/>
    <w:rsid w:val="00500ADC"/>
    <w:rsid w:val="00501322"/>
    <w:rsid w:val="00501FCA"/>
    <w:rsid w:val="0050290B"/>
    <w:rsid w:val="00502EB6"/>
    <w:rsid w:val="005038C1"/>
    <w:rsid w:val="00504D0A"/>
    <w:rsid w:val="00505190"/>
    <w:rsid w:val="00505997"/>
    <w:rsid w:val="00505EF6"/>
    <w:rsid w:val="00506439"/>
    <w:rsid w:val="0051225E"/>
    <w:rsid w:val="0051242F"/>
    <w:rsid w:val="0051368C"/>
    <w:rsid w:val="0051393F"/>
    <w:rsid w:val="0051404D"/>
    <w:rsid w:val="00514564"/>
    <w:rsid w:val="005156F9"/>
    <w:rsid w:val="005242A9"/>
    <w:rsid w:val="00524512"/>
    <w:rsid w:val="005262C7"/>
    <w:rsid w:val="0052754E"/>
    <w:rsid w:val="0052794A"/>
    <w:rsid w:val="0053220D"/>
    <w:rsid w:val="00532A69"/>
    <w:rsid w:val="00534676"/>
    <w:rsid w:val="005366E3"/>
    <w:rsid w:val="00536DDF"/>
    <w:rsid w:val="00543AD4"/>
    <w:rsid w:val="00543C94"/>
    <w:rsid w:val="005444E2"/>
    <w:rsid w:val="00544FAA"/>
    <w:rsid w:val="00545043"/>
    <w:rsid w:val="00545142"/>
    <w:rsid w:val="00545669"/>
    <w:rsid w:val="00545BD2"/>
    <w:rsid w:val="00545EBF"/>
    <w:rsid w:val="005469A8"/>
    <w:rsid w:val="00546A67"/>
    <w:rsid w:val="0054728D"/>
    <w:rsid w:val="00547FF3"/>
    <w:rsid w:val="00551FB0"/>
    <w:rsid w:val="00552C0C"/>
    <w:rsid w:val="00553690"/>
    <w:rsid w:val="005538C6"/>
    <w:rsid w:val="005542A6"/>
    <w:rsid w:val="005544C5"/>
    <w:rsid w:val="00554AE6"/>
    <w:rsid w:val="0055584F"/>
    <w:rsid w:val="00555942"/>
    <w:rsid w:val="00556382"/>
    <w:rsid w:val="00556877"/>
    <w:rsid w:val="00560228"/>
    <w:rsid w:val="0056187F"/>
    <w:rsid w:val="00561F2B"/>
    <w:rsid w:val="005650F4"/>
    <w:rsid w:val="00566984"/>
    <w:rsid w:val="00566BCB"/>
    <w:rsid w:val="00566D7C"/>
    <w:rsid w:val="00570861"/>
    <w:rsid w:val="00571E0F"/>
    <w:rsid w:val="00573587"/>
    <w:rsid w:val="00574282"/>
    <w:rsid w:val="0057513F"/>
    <w:rsid w:val="0057599D"/>
    <w:rsid w:val="00577088"/>
    <w:rsid w:val="00577942"/>
    <w:rsid w:val="00577BDE"/>
    <w:rsid w:val="00582A5D"/>
    <w:rsid w:val="00583724"/>
    <w:rsid w:val="00583EA1"/>
    <w:rsid w:val="0058415B"/>
    <w:rsid w:val="005853A9"/>
    <w:rsid w:val="00585D08"/>
    <w:rsid w:val="00586992"/>
    <w:rsid w:val="0058708A"/>
    <w:rsid w:val="005875CD"/>
    <w:rsid w:val="00590166"/>
    <w:rsid w:val="00590E0F"/>
    <w:rsid w:val="00592977"/>
    <w:rsid w:val="00592E78"/>
    <w:rsid w:val="00592F29"/>
    <w:rsid w:val="00593C53"/>
    <w:rsid w:val="00594998"/>
    <w:rsid w:val="005951BC"/>
    <w:rsid w:val="00595E6F"/>
    <w:rsid w:val="00596EA2"/>
    <w:rsid w:val="005A091E"/>
    <w:rsid w:val="005A1534"/>
    <w:rsid w:val="005A1F3F"/>
    <w:rsid w:val="005A27BF"/>
    <w:rsid w:val="005A4EA7"/>
    <w:rsid w:val="005A60BA"/>
    <w:rsid w:val="005A6223"/>
    <w:rsid w:val="005A65D0"/>
    <w:rsid w:val="005B0442"/>
    <w:rsid w:val="005B1BAB"/>
    <w:rsid w:val="005B3619"/>
    <w:rsid w:val="005B4043"/>
    <w:rsid w:val="005B5640"/>
    <w:rsid w:val="005B5A9B"/>
    <w:rsid w:val="005B6302"/>
    <w:rsid w:val="005B6431"/>
    <w:rsid w:val="005B6C40"/>
    <w:rsid w:val="005C036A"/>
    <w:rsid w:val="005C3451"/>
    <w:rsid w:val="005C3836"/>
    <w:rsid w:val="005C3B3D"/>
    <w:rsid w:val="005C453E"/>
    <w:rsid w:val="005C5381"/>
    <w:rsid w:val="005C675B"/>
    <w:rsid w:val="005D09F6"/>
    <w:rsid w:val="005D29A5"/>
    <w:rsid w:val="005D3074"/>
    <w:rsid w:val="005D3133"/>
    <w:rsid w:val="005D4524"/>
    <w:rsid w:val="005D513D"/>
    <w:rsid w:val="005D5D1C"/>
    <w:rsid w:val="005D5E98"/>
    <w:rsid w:val="005D768F"/>
    <w:rsid w:val="005E03D3"/>
    <w:rsid w:val="005E074A"/>
    <w:rsid w:val="005E1069"/>
    <w:rsid w:val="005E2D9B"/>
    <w:rsid w:val="005E3D1E"/>
    <w:rsid w:val="005E4616"/>
    <w:rsid w:val="005E4E24"/>
    <w:rsid w:val="005E6132"/>
    <w:rsid w:val="005E71C2"/>
    <w:rsid w:val="005F07E8"/>
    <w:rsid w:val="005F1375"/>
    <w:rsid w:val="005F1892"/>
    <w:rsid w:val="005F254B"/>
    <w:rsid w:val="005F2EF9"/>
    <w:rsid w:val="005F323F"/>
    <w:rsid w:val="005F3547"/>
    <w:rsid w:val="005F42B2"/>
    <w:rsid w:val="005F68AA"/>
    <w:rsid w:val="006007BD"/>
    <w:rsid w:val="00600906"/>
    <w:rsid w:val="006031C2"/>
    <w:rsid w:val="006037E9"/>
    <w:rsid w:val="006049F0"/>
    <w:rsid w:val="00606E6A"/>
    <w:rsid w:val="006072A9"/>
    <w:rsid w:val="0061025D"/>
    <w:rsid w:val="00610F01"/>
    <w:rsid w:val="00611621"/>
    <w:rsid w:val="00611BEC"/>
    <w:rsid w:val="00612961"/>
    <w:rsid w:val="0061468D"/>
    <w:rsid w:val="006146DE"/>
    <w:rsid w:val="00614827"/>
    <w:rsid w:val="0062008E"/>
    <w:rsid w:val="00622A55"/>
    <w:rsid w:val="006232F8"/>
    <w:rsid w:val="00623F23"/>
    <w:rsid w:val="00624EC6"/>
    <w:rsid w:val="00625009"/>
    <w:rsid w:val="00625216"/>
    <w:rsid w:val="006257EC"/>
    <w:rsid w:val="00626E58"/>
    <w:rsid w:val="00626E5C"/>
    <w:rsid w:val="00626F60"/>
    <w:rsid w:val="00627075"/>
    <w:rsid w:val="006271C5"/>
    <w:rsid w:val="006321CE"/>
    <w:rsid w:val="00632671"/>
    <w:rsid w:val="00632C69"/>
    <w:rsid w:val="00633407"/>
    <w:rsid w:val="00634482"/>
    <w:rsid w:val="006344FC"/>
    <w:rsid w:val="006345D9"/>
    <w:rsid w:val="006374A1"/>
    <w:rsid w:val="00640889"/>
    <w:rsid w:val="00640AB9"/>
    <w:rsid w:val="00640E05"/>
    <w:rsid w:val="006415B9"/>
    <w:rsid w:val="00641D9E"/>
    <w:rsid w:val="00642B9F"/>
    <w:rsid w:val="00643524"/>
    <w:rsid w:val="00645E68"/>
    <w:rsid w:val="006504F9"/>
    <w:rsid w:val="006505C1"/>
    <w:rsid w:val="00652476"/>
    <w:rsid w:val="006543B1"/>
    <w:rsid w:val="00656599"/>
    <w:rsid w:val="00657F88"/>
    <w:rsid w:val="006605A7"/>
    <w:rsid w:val="00665155"/>
    <w:rsid w:val="00667441"/>
    <w:rsid w:val="00667C6C"/>
    <w:rsid w:val="00671A62"/>
    <w:rsid w:val="0067269C"/>
    <w:rsid w:val="0067593B"/>
    <w:rsid w:val="00675F72"/>
    <w:rsid w:val="006778CD"/>
    <w:rsid w:val="00680801"/>
    <w:rsid w:val="00682948"/>
    <w:rsid w:val="00684338"/>
    <w:rsid w:val="006860C1"/>
    <w:rsid w:val="006862E2"/>
    <w:rsid w:val="0069108D"/>
    <w:rsid w:val="006911A1"/>
    <w:rsid w:val="006926C5"/>
    <w:rsid w:val="0069293F"/>
    <w:rsid w:val="00694A32"/>
    <w:rsid w:val="00695463"/>
    <w:rsid w:val="0069653F"/>
    <w:rsid w:val="006A0597"/>
    <w:rsid w:val="006A1130"/>
    <w:rsid w:val="006A454C"/>
    <w:rsid w:val="006A5678"/>
    <w:rsid w:val="006A59DE"/>
    <w:rsid w:val="006A5BBE"/>
    <w:rsid w:val="006A5C69"/>
    <w:rsid w:val="006A61F1"/>
    <w:rsid w:val="006A6D6E"/>
    <w:rsid w:val="006B1608"/>
    <w:rsid w:val="006B1E7B"/>
    <w:rsid w:val="006B4D27"/>
    <w:rsid w:val="006B51D1"/>
    <w:rsid w:val="006B5914"/>
    <w:rsid w:val="006B615C"/>
    <w:rsid w:val="006B721B"/>
    <w:rsid w:val="006B746F"/>
    <w:rsid w:val="006B76AD"/>
    <w:rsid w:val="006C05CA"/>
    <w:rsid w:val="006C0E76"/>
    <w:rsid w:val="006C15F3"/>
    <w:rsid w:val="006C2548"/>
    <w:rsid w:val="006C6339"/>
    <w:rsid w:val="006C7095"/>
    <w:rsid w:val="006D05BE"/>
    <w:rsid w:val="006D1CB4"/>
    <w:rsid w:val="006E1445"/>
    <w:rsid w:val="006E32BC"/>
    <w:rsid w:val="006E596E"/>
    <w:rsid w:val="006E67B9"/>
    <w:rsid w:val="006F11DA"/>
    <w:rsid w:val="006F1615"/>
    <w:rsid w:val="006F18B6"/>
    <w:rsid w:val="006F4815"/>
    <w:rsid w:val="006F5D47"/>
    <w:rsid w:val="006F630D"/>
    <w:rsid w:val="006F6613"/>
    <w:rsid w:val="007022C5"/>
    <w:rsid w:val="007027D3"/>
    <w:rsid w:val="0070393E"/>
    <w:rsid w:val="00705950"/>
    <w:rsid w:val="0070793C"/>
    <w:rsid w:val="00707C03"/>
    <w:rsid w:val="0071141E"/>
    <w:rsid w:val="00712006"/>
    <w:rsid w:val="007126AA"/>
    <w:rsid w:val="0071409D"/>
    <w:rsid w:val="007140AA"/>
    <w:rsid w:val="007159FF"/>
    <w:rsid w:val="007175CF"/>
    <w:rsid w:val="00720112"/>
    <w:rsid w:val="007204D6"/>
    <w:rsid w:val="00721E3E"/>
    <w:rsid w:val="00722BDD"/>
    <w:rsid w:val="00722C05"/>
    <w:rsid w:val="00723C8D"/>
    <w:rsid w:val="0072498D"/>
    <w:rsid w:val="007265E0"/>
    <w:rsid w:val="00727E57"/>
    <w:rsid w:val="0073056B"/>
    <w:rsid w:val="00730DB0"/>
    <w:rsid w:val="00731901"/>
    <w:rsid w:val="007320F5"/>
    <w:rsid w:val="00732B30"/>
    <w:rsid w:val="0073313E"/>
    <w:rsid w:val="007335B6"/>
    <w:rsid w:val="00733BC4"/>
    <w:rsid w:val="00733F5C"/>
    <w:rsid w:val="00733FCF"/>
    <w:rsid w:val="00734262"/>
    <w:rsid w:val="00734462"/>
    <w:rsid w:val="007346C9"/>
    <w:rsid w:val="007352FD"/>
    <w:rsid w:val="00735756"/>
    <w:rsid w:val="00735E85"/>
    <w:rsid w:val="00735F24"/>
    <w:rsid w:val="00736767"/>
    <w:rsid w:val="00736B0F"/>
    <w:rsid w:val="0073762F"/>
    <w:rsid w:val="00743485"/>
    <w:rsid w:val="007449A3"/>
    <w:rsid w:val="00745A12"/>
    <w:rsid w:val="007472C3"/>
    <w:rsid w:val="00747CEC"/>
    <w:rsid w:val="00747DC1"/>
    <w:rsid w:val="00751689"/>
    <w:rsid w:val="007529D2"/>
    <w:rsid w:val="007539FF"/>
    <w:rsid w:val="00754749"/>
    <w:rsid w:val="0075540F"/>
    <w:rsid w:val="00757FC0"/>
    <w:rsid w:val="007607B3"/>
    <w:rsid w:val="00760980"/>
    <w:rsid w:val="0076297F"/>
    <w:rsid w:val="00762BBA"/>
    <w:rsid w:val="00764260"/>
    <w:rsid w:val="00764ADA"/>
    <w:rsid w:val="00765FCB"/>
    <w:rsid w:val="00766B2B"/>
    <w:rsid w:val="00770BBE"/>
    <w:rsid w:val="0077114D"/>
    <w:rsid w:val="0077283F"/>
    <w:rsid w:val="00773578"/>
    <w:rsid w:val="007742EC"/>
    <w:rsid w:val="00774570"/>
    <w:rsid w:val="00776E9D"/>
    <w:rsid w:val="007816CD"/>
    <w:rsid w:val="007822C7"/>
    <w:rsid w:val="007826EC"/>
    <w:rsid w:val="00783328"/>
    <w:rsid w:val="00783779"/>
    <w:rsid w:val="00785572"/>
    <w:rsid w:val="00787640"/>
    <w:rsid w:val="00790385"/>
    <w:rsid w:val="007905F3"/>
    <w:rsid w:val="007927BA"/>
    <w:rsid w:val="007962E9"/>
    <w:rsid w:val="00797B5D"/>
    <w:rsid w:val="007A20A3"/>
    <w:rsid w:val="007A21C0"/>
    <w:rsid w:val="007A2BB7"/>
    <w:rsid w:val="007A30D5"/>
    <w:rsid w:val="007A43FC"/>
    <w:rsid w:val="007A44AA"/>
    <w:rsid w:val="007A4609"/>
    <w:rsid w:val="007A477E"/>
    <w:rsid w:val="007A55DC"/>
    <w:rsid w:val="007A5EFF"/>
    <w:rsid w:val="007A5F7A"/>
    <w:rsid w:val="007A69B8"/>
    <w:rsid w:val="007B211C"/>
    <w:rsid w:val="007B323C"/>
    <w:rsid w:val="007B34EB"/>
    <w:rsid w:val="007B3FE2"/>
    <w:rsid w:val="007B659C"/>
    <w:rsid w:val="007B6E45"/>
    <w:rsid w:val="007C0538"/>
    <w:rsid w:val="007C365D"/>
    <w:rsid w:val="007C423F"/>
    <w:rsid w:val="007C54CE"/>
    <w:rsid w:val="007C6C9F"/>
    <w:rsid w:val="007D01F3"/>
    <w:rsid w:val="007D1068"/>
    <w:rsid w:val="007D2811"/>
    <w:rsid w:val="007D3249"/>
    <w:rsid w:val="007D52CF"/>
    <w:rsid w:val="007D6FBE"/>
    <w:rsid w:val="007D75FF"/>
    <w:rsid w:val="007E0197"/>
    <w:rsid w:val="007E0B66"/>
    <w:rsid w:val="007E16EA"/>
    <w:rsid w:val="007E27A7"/>
    <w:rsid w:val="007E2A25"/>
    <w:rsid w:val="007E3D1B"/>
    <w:rsid w:val="007E6389"/>
    <w:rsid w:val="007E6D27"/>
    <w:rsid w:val="007E71E9"/>
    <w:rsid w:val="007F0794"/>
    <w:rsid w:val="007F08F0"/>
    <w:rsid w:val="007F1767"/>
    <w:rsid w:val="007F192C"/>
    <w:rsid w:val="007F362F"/>
    <w:rsid w:val="007F751F"/>
    <w:rsid w:val="00804074"/>
    <w:rsid w:val="008044AB"/>
    <w:rsid w:val="008048F5"/>
    <w:rsid w:val="00805AC5"/>
    <w:rsid w:val="008066BF"/>
    <w:rsid w:val="008070B6"/>
    <w:rsid w:val="00810160"/>
    <w:rsid w:val="00810499"/>
    <w:rsid w:val="008105D5"/>
    <w:rsid w:val="0081148F"/>
    <w:rsid w:val="008137E6"/>
    <w:rsid w:val="00813E70"/>
    <w:rsid w:val="00814804"/>
    <w:rsid w:val="00815AD4"/>
    <w:rsid w:val="00816118"/>
    <w:rsid w:val="0081655E"/>
    <w:rsid w:val="00820901"/>
    <w:rsid w:val="008213AC"/>
    <w:rsid w:val="008236FC"/>
    <w:rsid w:val="00823AE7"/>
    <w:rsid w:val="00823E21"/>
    <w:rsid w:val="008274CF"/>
    <w:rsid w:val="008315BC"/>
    <w:rsid w:val="0083306E"/>
    <w:rsid w:val="008363A5"/>
    <w:rsid w:val="00836A53"/>
    <w:rsid w:val="008403DD"/>
    <w:rsid w:val="0084150B"/>
    <w:rsid w:val="0084698A"/>
    <w:rsid w:val="00847468"/>
    <w:rsid w:val="0084759A"/>
    <w:rsid w:val="00850039"/>
    <w:rsid w:val="008505C5"/>
    <w:rsid w:val="0085112A"/>
    <w:rsid w:val="0085166E"/>
    <w:rsid w:val="008524AC"/>
    <w:rsid w:val="0085255D"/>
    <w:rsid w:val="00853567"/>
    <w:rsid w:val="00853623"/>
    <w:rsid w:val="00854AA6"/>
    <w:rsid w:val="00855170"/>
    <w:rsid w:val="008554BA"/>
    <w:rsid w:val="008555EC"/>
    <w:rsid w:val="0085586D"/>
    <w:rsid w:val="008564DE"/>
    <w:rsid w:val="00856FA9"/>
    <w:rsid w:val="00857652"/>
    <w:rsid w:val="0086293D"/>
    <w:rsid w:val="00863603"/>
    <w:rsid w:val="00864673"/>
    <w:rsid w:val="0086479A"/>
    <w:rsid w:val="00864E8B"/>
    <w:rsid w:val="0086645F"/>
    <w:rsid w:val="0086674B"/>
    <w:rsid w:val="00866857"/>
    <w:rsid w:val="00866907"/>
    <w:rsid w:val="00866BD3"/>
    <w:rsid w:val="0087014B"/>
    <w:rsid w:val="008727C1"/>
    <w:rsid w:val="00872DFA"/>
    <w:rsid w:val="00873004"/>
    <w:rsid w:val="0087413A"/>
    <w:rsid w:val="0087452A"/>
    <w:rsid w:val="00877108"/>
    <w:rsid w:val="008773A9"/>
    <w:rsid w:val="00880DDB"/>
    <w:rsid w:val="00881566"/>
    <w:rsid w:val="00881D84"/>
    <w:rsid w:val="00883AF2"/>
    <w:rsid w:val="00885526"/>
    <w:rsid w:val="00885C1D"/>
    <w:rsid w:val="00885D3E"/>
    <w:rsid w:val="00886B81"/>
    <w:rsid w:val="008912D5"/>
    <w:rsid w:val="0089159F"/>
    <w:rsid w:val="00891D2C"/>
    <w:rsid w:val="008945F5"/>
    <w:rsid w:val="00897F30"/>
    <w:rsid w:val="008A1841"/>
    <w:rsid w:val="008A1B47"/>
    <w:rsid w:val="008A2D62"/>
    <w:rsid w:val="008A447C"/>
    <w:rsid w:val="008A44E9"/>
    <w:rsid w:val="008A530E"/>
    <w:rsid w:val="008A6D9E"/>
    <w:rsid w:val="008A7FD6"/>
    <w:rsid w:val="008B4AF0"/>
    <w:rsid w:val="008B4DDA"/>
    <w:rsid w:val="008B5E00"/>
    <w:rsid w:val="008B61B8"/>
    <w:rsid w:val="008B6573"/>
    <w:rsid w:val="008B6A80"/>
    <w:rsid w:val="008C0EAE"/>
    <w:rsid w:val="008C1468"/>
    <w:rsid w:val="008C161A"/>
    <w:rsid w:val="008C27E8"/>
    <w:rsid w:val="008C5A53"/>
    <w:rsid w:val="008C5BFC"/>
    <w:rsid w:val="008C5DA0"/>
    <w:rsid w:val="008C6708"/>
    <w:rsid w:val="008C67B8"/>
    <w:rsid w:val="008C6A74"/>
    <w:rsid w:val="008C7232"/>
    <w:rsid w:val="008C7F5B"/>
    <w:rsid w:val="008D0318"/>
    <w:rsid w:val="008D1A4E"/>
    <w:rsid w:val="008D1D10"/>
    <w:rsid w:val="008D29BA"/>
    <w:rsid w:val="008D2D0F"/>
    <w:rsid w:val="008D3E7D"/>
    <w:rsid w:val="008D4F65"/>
    <w:rsid w:val="008D611B"/>
    <w:rsid w:val="008D6322"/>
    <w:rsid w:val="008D63CA"/>
    <w:rsid w:val="008D6C01"/>
    <w:rsid w:val="008D6C53"/>
    <w:rsid w:val="008D7B8B"/>
    <w:rsid w:val="008E2287"/>
    <w:rsid w:val="008E2323"/>
    <w:rsid w:val="008E302A"/>
    <w:rsid w:val="008E30DF"/>
    <w:rsid w:val="008E47DC"/>
    <w:rsid w:val="008E4D26"/>
    <w:rsid w:val="008E53FE"/>
    <w:rsid w:val="008E600F"/>
    <w:rsid w:val="008E6540"/>
    <w:rsid w:val="008F01B0"/>
    <w:rsid w:val="008F173D"/>
    <w:rsid w:val="008F1B25"/>
    <w:rsid w:val="008F263C"/>
    <w:rsid w:val="008F3548"/>
    <w:rsid w:val="008F3623"/>
    <w:rsid w:val="008F447C"/>
    <w:rsid w:val="008F44B5"/>
    <w:rsid w:val="008F50F0"/>
    <w:rsid w:val="008F5157"/>
    <w:rsid w:val="008F6A6F"/>
    <w:rsid w:val="008F71AB"/>
    <w:rsid w:val="008F74BA"/>
    <w:rsid w:val="008F7FBA"/>
    <w:rsid w:val="00900A41"/>
    <w:rsid w:val="009019F9"/>
    <w:rsid w:val="00902219"/>
    <w:rsid w:val="00904291"/>
    <w:rsid w:val="00904C71"/>
    <w:rsid w:val="009059BA"/>
    <w:rsid w:val="00907142"/>
    <w:rsid w:val="00907CD3"/>
    <w:rsid w:val="00907EBB"/>
    <w:rsid w:val="009101E8"/>
    <w:rsid w:val="00910413"/>
    <w:rsid w:val="00912003"/>
    <w:rsid w:val="00913F49"/>
    <w:rsid w:val="00914B08"/>
    <w:rsid w:val="00915204"/>
    <w:rsid w:val="00915BBE"/>
    <w:rsid w:val="00915C27"/>
    <w:rsid w:val="00916423"/>
    <w:rsid w:val="0091755F"/>
    <w:rsid w:val="009200F9"/>
    <w:rsid w:val="009218AA"/>
    <w:rsid w:val="009226FB"/>
    <w:rsid w:val="0092493C"/>
    <w:rsid w:val="00926F75"/>
    <w:rsid w:val="009305A5"/>
    <w:rsid w:val="00932643"/>
    <w:rsid w:val="009331AB"/>
    <w:rsid w:val="009337B4"/>
    <w:rsid w:val="0094058F"/>
    <w:rsid w:val="0094227C"/>
    <w:rsid w:val="00942BF4"/>
    <w:rsid w:val="00942C10"/>
    <w:rsid w:val="00946896"/>
    <w:rsid w:val="00946FBC"/>
    <w:rsid w:val="009507B7"/>
    <w:rsid w:val="009511CD"/>
    <w:rsid w:val="009513BC"/>
    <w:rsid w:val="00952BEC"/>
    <w:rsid w:val="009558B0"/>
    <w:rsid w:val="00957814"/>
    <w:rsid w:val="00957E26"/>
    <w:rsid w:val="009604F4"/>
    <w:rsid w:val="00960755"/>
    <w:rsid w:val="00960757"/>
    <w:rsid w:val="009619CF"/>
    <w:rsid w:val="00961A25"/>
    <w:rsid w:val="009620E5"/>
    <w:rsid w:val="009630E3"/>
    <w:rsid w:val="0096473B"/>
    <w:rsid w:val="00966719"/>
    <w:rsid w:val="009669C3"/>
    <w:rsid w:val="00967607"/>
    <w:rsid w:val="00970426"/>
    <w:rsid w:val="00970FA8"/>
    <w:rsid w:val="009713EC"/>
    <w:rsid w:val="00971CAA"/>
    <w:rsid w:val="009725BA"/>
    <w:rsid w:val="00974079"/>
    <w:rsid w:val="009742FC"/>
    <w:rsid w:val="00975B3F"/>
    <w:rsid w:val="00976850"/>
    <w:rsid w:val="00980534"/>
    <w:rsid w:val="00980657"/>
    <w:rsid w:val="009816E2"/>
    <w:rsid w:val="009820B1"/>
    <w:rsid w:val="00983FD9"/>
    <w:rsid w:val="00985369"/>
    <w:rsid w:val="00985E85"/>
    <w:rsid w:val="00986469"/>
    <w:rsid w:val="00987AEB"/>
    <w:rsid w:val="00992D5C"/>
    <w:rsid w:val="0099484E"/>
    <w:rsid w:val="00996973"/>
    <w:rsid w:val="009975A1"/>
    <w:rsid w:val="009977E6"/>
    <w:rsid w:val="009979F0"/>
    <w:rsid w:val="009A0BC2"/>
    <w:rsid w:val="009A3F96"/>
    <w:rsid w:val="009A62F4"/>
    <w:rsid w:val="009A7159"/>
    <w:rsid w:val="009A7568"/>
    <w:rsid w:val="009B00EA"/>
    <w:rsid w:val="009B03B1"/>
    <w:rsid w:val="009B1A16"/>
    <w:rsid w:val="009B2782"/>
    <w:rsid w:val="009B282E"/>
    <w:rsid w:val="009B2AB0"/>
    <w:rsid w:val="009B37CB"/>
    <w:rsid w:val="009C11D5"/>
    <w:rsid w:val="009C1DCD"/>
    <w:rsid w:val="009C242A"/>
    <w:rsid w:val="009C3AF1"/>
    <w:rsid w:val="009C4276"/>
    <w:rsid w:val="009C5546"/>
    <w:rsid w:val="009C6CD9"/>
    <w:rsid w:val="009D1420"/>
    <w:rsid w:val="009D322E"/>
    <w:rsid w:val="009D3783"/>
    <w:rsid w:val="009D562D"/>
    <w:rsid w:val="009D65F5"/>
    <w:rsid w:val="009D7068"/>
    <w:rsid w:val="009D77B4"/>
    <w:rsid w:val="009D78E6"/>
    <w:rsid w:val="009E166A"/>
    <w:rsid w:val="009E2918"/>
    <w:rsid w:val="009E6615"/>
    <w:rsid w:val="009E74D1"/>
    <w:rsid w:val="009E7646"/>
    <w:rsid w:val="009E7D06"/>
    <w:rsid w:val="009F0FFC"/>
    <w:rsid w:val="009F40FC"/>
    <w:rsid w:val="009F600A"/>
    <w:rsid w:val="009F6054"/>
    <w:rsid w:val="009F66E0"/>
    <w:rsid w:val="009F78F7"/>
    <w:rsid w:val="009F7A54"/>
    <w:rsid w:val="00A00BE1"/>
    <w:rsid w:val="00A00ECE"/>
    <w:rsid w:val="00A0146D"/>
    <w:rsid w:val="00A01500"/>
    <w:rsid w:val="00A01F3C"/>
    <w:rsid w:val="00A02741"/>
    <w:rsid w:val="00A03B6A"/>
    <w:rsid w:val="00A03DE8"/>
    <w:rsid w:val="00A03FA4"/>
    <w:rsid w:val="00A047A2"/>
    <w:rsid w:val="00A06CC5"/>
    <w:rsid w:val="00A07470"/>
    <w:rsid w:val="00A07661"/>
    <w:rsid w:val="00A07D11"/>
    <w:rsid w:val="00A109C4"/>
    <w:rsid w:val="00A1104B"/>
    <w:rsid w:val="00A11B96"/>
    <w:rsid w:val="00A12566"/>
    <w:rsid w:val="00A12B7C"/>
    <w:rsid w:val="00A13D0F"/>
    <w:rsid w:val="00A1488A"/>
    <w:rsid w:val="00A15F05"/>
    <w:rsid w:val="00A16891"/>
    <w:rsid w:val="00A17F30"/>
    <w:rsid w:val="00A21160"/>
    <w:rsid w:val="00A219FA"/>
    <w:rsid w:val="00A21F44"/>
    <w:rsid w:val="00A24ADF"/>
    <w:rsid w:val="00A265F3"/>
    <w:rsid w:val="00A305C1"/>
    <w:rsid w:val="00A30748"/>
    <w:rsid w:val="00A308BC"/>
    <w:rsid w:val="00A32E44"/>
    <w:rsid w:val="00A33053"/>
    <w:rsid w:val="00A341B7"/>
    <w:rsid w:val="00A344DF"/>
    <w:rsid w:val="00A367B0"/>
    <w:rsid w:val="00A36A68"/>
    <w:rsid w:val="00A36DE3"/>
    <w:rsid w:val="00A3781A"/>
    <w:rsid w:val="00A4206A"/>
    <w:rsid w:val="00A44516"/>
    <w:rsid w:val="00A4477C"/>
    <w:rsid w:val="00A458FD"/>
    <w:rsid w:val="00A45EDA"/>
    <w:rsid w:val="00A5111B"/>
    <w:rsid w:val="00A515BD"/>
    <w:rsid w:val="00A519A5"/>
    <w:rsid w:val="00A519BC"/>
    <w:rsid w:val="00A53C6E"/>
    <w:rsid w:val="00A545FB"/>
    <w:rsid w:val="00A54FB6"/>
    <w:rsid w:val="00A566CD"/>
    <w:rsid w:val="00A56CBB"/>
    <w:rsid w:val="00A57270"/>
    <w:rsid w:val="00A5756F"/>
    <w:rsid w:val="00A61082"/>
    <w:rsid w:val="00A610AC"/>
    <w:rsid w:val="00A635DB"/>
    <w:rsid w:val="00A6374E"/>
    <w:rsid w:val="00A63E5B"/>
    <w:rsid w:val="00A641E5"/>
    <w:rsid w:val="00A677C6"/>
    <w:rsid w:val="00A70CAE"/>
    <w:rsid w:val="00A712B6"/>
    <w:rsid w:val="00A71798"/>
    <w:rsid w:val="00A7326A"/>
    <w:rsid w:val="00A73E13"/>
    <w:rsid w:val="00A743EF"/>
    <w:rsid w:val="00A74EF7"/>
    <w:rsid w:val="00A76798"/>
    <w:rsid w:val="00A76A33"/>
    <w:rsid w:val="00A76B3A"/>
    <w:rsid w:val="00A77398"/>
    <w:rsid w:val="00A80C14"/>
    <w:rsid w:val="00A828A7"/>
    <w:rsid w:val="00A830FB"/>
    <w:rsid w:val="00A841D0"/>
    <w:rsid w:val="00A847F2"/>
    <w:rsid w:val="00A84D24"/>
    <w:rsid w:val="00A85B39"/>
    <w:rsid w:val="00A85CCA"/>
    <w:rsid w:val="00A869BD"/>
    <w:rsid w:val="00A86C68"/>
    <w:rsid w:val="00A8768C"/>
    <w:rsid w:val="00A9041D"/>
    <w:rsid w:val="00A919B9"/>
    <w:rsid w:val="00A93910"/>
    <w:rsid w:val="00A95A36"/>
    <w:rsid w:val="00A95D39"/>
    <w:rsid w:val="00A978CF"/>
    <w:rsid w:val="00AA15D9"/>
    <w:rsid w:val="00AA175A"/>
    <w:rsid w:val="00AA4BF1"/>
    <w:rsid w:val="00AA5097"/>
    <w:rsid w:val="00AA5C0A"/>
    <w:rsid w:val="00AA5DC3"/>
    <w:rsid w:val="00AA7338"/>
    <w:rsid w:val="00AA7C5E"/>
    <w:rsid w:val="00AB025B"/>
    <w:rsid w:val="00AB130F"/>
    <w:rsid w:val="00AB3063"/>
    <w:rsid w:val="00AB311C"/>
    <w:rsid w:val="00AB369A"/>
    <w:rsid w:val="00AB41B9"/>
    <w:rsid w:val="00AB443B"/>
    <w:rsid w:val="00AB67C8"/>
    <w:rsid w:val="00AB6C9B"/>
    <w:rsid w:val="00AC043E"/>
    <w:rsid w:val="00AC054D"/>
    <w:rsid w:val="00AC1244"/>
    <w:rsid w:val="00AC176D"/>
    <w:rsid w:val="00AC20BA"/>
    <w:rsid w:val="00AC43C5"/>
    <w:rsid w:val="00AC4F05"/>
    <w:rsid w:val="00AC502E"/>
    <w:rsid w:val="00AC598C"/>
    <w:rsid w:val="00AC7034"/>
    <w:rsid w:val="00AC73CB"/>
    <w:rsid w:val="00AC7765"/>
    <w:rsid w:val="00AC79ED"/>
    <w:rsid w:val="00AD0C2A"/>
    <w:rsid w:val="00AD242D"/>
    <w:rsid w:val="00AD2EC0"/>
    <w:rsid w:val="00AD4672"/>
    <w:rsid w:val="00AD566F"/>
    <w:rsid w:val="00AD7CB4"/>
    <w:rsid w:val="00AE0295"/>
    <w:rsid w:val="00AE16BE"/>
    <w:rsid w:val="00AE2E8D"/>
    <w:rsid w:val="00AE394C"/>
    <w:rsid w:val="00AE45BB"/>
    <w:rsid w:val="00AE4E68"/>
    <w:rsid w:val="00AE7276"/>
    <w:rsid w:val="00AE7F12"/>
    <w:rsid w:val="00AF0AB5"/>
    <w:rsid w:val="00AF0ACF"/>
    <w:rsid w:val="00AF12A9"/>
    <w:rsid w:val="00AF24C6"/>
    <w:rsid w:val="00AF4313"/>
    <w:rsid w:val="00AF5A50"/>
    <w:rsid w:val="00AF66B6"/>
    <w:rsid w:val="00AF758B"/>
    <w:rsid w:val="00AF7FC0"/>
    <w:rsid w:val="00B01E96"/>
    <w:rsid w:val="00B02308"/>
    <w:rsid w:val="00B03279"/>
    <w:rsid w:val="00B032D7"/>
    <w:rsid w:val="00B039E9"/>
    <w:rsid w:val="00B04D68"/>
    <w:rsid w:val="00B04E32"/>
    <w:rsid w:val="00B10315"/>
    <w:rsid w:val="00B1055D"/>
    <w:rsid w:val="00B118E0"/>
    <w:rsid w:val="00B11BE8"/>
    <w:rsid w:val="00B150D1"/>
    <w:rsid w:val="00B1660B"/>
    <w:rsid w:val="00B1685E"/>
    <w:rsid w:val="00B16C18"/>
    <w:rsid w:val="00B17C19"/>
    <w:rsid w:val="00B20719"/>
    <w:rsid w:val="00B207AB"/>
    <w:rsid w:val="00B2160C"/>
    <w:rsid w:val="00B217E9"/>
    <w:rsid w:val="00B21CD8"/>
    <w:rsid w:val="00B2264F"/>
    <w:rsid w:val="00B23023"/>
    <w:rsid w:val="00B25527"/>
    <w:rsid w:val="00B25595"/>
    <w:rsid w:val="00B25D3F"/>
    <w:rsid w:val="00B26DD5"/>
    <w:rsid w:val="00B32645"/>
    <w:rsid w:val="00B331DC"/>
    <w:rsid w:val="00B34335"/>
    <w:rsid w:val="00B351D8"/>
    <w:rsid w:val="00B3528A"/>
    <w:rsid w:val="00B357D1"/>
    <w:rsid w:val="00B359FF"/>
    <w:rsid w:val="00B4182B"/>
    <w:rsid w:val="00B430B1"/>
    <w:rsid w:val="00B43592"/>
    <w:rsid w:val="00B438BB"/>
    <w:rsid w:val="00B4570E"/>
    <w:rsid w:val="00B45DEA"/>
    <w:rsid w:val="00B479B8"/>
    <w:rsid w:val="00B511F0"/>
    <w:rsid w:val="00B51DD3"/>
    <w:rsid w:val="00B533DC"/>
    <w:rsid w:val="00B54AA1"/>
    <w:rsid w:val="00B56287"/>
    <w:rsid w:val="00B56465"/>
    <w:rsid w:val="00B56BD6"/>
    <w:rsid w:val="00B57A73"/>
    <w:rsid w:val="00B62491"/>
    <w:rsid w:val="00B630CC"/>
    <w:rsid w:val="00B66395"/>
    <w:rsid w:val="00B675E3"/>
    <w:rsid w:val="00B70126"/>
    <w:rsid w:val="00B71DFD"/>
    <w:rsid w:val="00B72273"/>
    <w:rsid w:val="00B72F16"/>
    <w:rsid w:val="00B7305B"/>
    <w:rsid w:val="00B767DF"/>
    <w:rsid w:val="00B774FF"/>
    <w:rsid w:val="00B81C99"/>
    <w:rsid w:val="00B82315"/>
    <w:rsid w:val="00B83215"/>
    <w:rsid w:val="00B856F4"/>
    <w:rsid w:val="00B87FEC"/>
    <w:rsid w:val="00B911BA"/>
    <w:rsid w:val="00B91ADC"/>
    <w:rsid w:val="00B92126"/>
    <w:rsid w:val="00B921C4"/>
    <w:rsid w:val="00B927B4"/>
    <w:rsid w:val="00B92DCE"/>
    <w:rsid w:val="00B944AA"/>
    <w:rsid w:val="00B94A00"/>
    <w:rsid w:val="00B96086"/>
    <w:rsid w:val="00B96FBA"/>
    <w:rsid w:val="00B97B10"/>
    <w:rsid w:val="00BA05D7"/>
    <w:rsid w:val="00BA11DC"/>
    <w:rsid w:val="00BA1D59"/>
    <w:rsid w:val="00BA28A6"/>
    <w:rsid w:val="00BA3283"/>
    <w:rsid w:val="00BA38D6"/>
    <w:rsid w:val="00BA4613"/>
    <w:rsid w:val="00BA6D9B"/>
    <w:rsid w:val="00BA79E3"/>
    <w:rsid w:val="00BB0804"/>
    <w:rsid w:val="00BB0B0B"/>
    <w:rsid w:val="00BB1763"/>
    <w:rsid w:val="00BB3F18"/>
    <w:rsid w:val="00BB511D"/>
    <w:rsid w:val="00BB6A87"/>
    <w:rsid w:val="00BB6BB9"/>
    <w:rsid w:val="00BB7464"/>
    <w:rsid w:val="00BB7E79"/>
    <w:rsid w:val="00BC20D1"/>
    <w:rsid w:val="00BC235E"/>
    <w:rsid w:val="00BC365E"/>
    <w:rsid w:val="00BC4B6A"/>
    <w:rsid w:val="00BC5926"/>
    <w:rsid w:val="00BC62BB"/>
    <w:rsid w:val="00BC698A"/>
    <w:rsid w:val="00BC6F49"/>
    <w:rsid w:val="00BC755C"/>
    <w:rsid w:val="00BC7695"/>
    <w:rsid w:val="00BD1D82"/>
    <w:rsid w:val="00BD3D60"/>
    <w:rsid w:val="00BD5CFC"/>
    <w:rsid w:val="00BE0563"/>
    <w:rsid w:val="00BE4528"/>
    <w:rsid w:val="00BE4C23"/>
    <w:rsid w:val="00BE60EE"/>
    <w:rsid w:val="00BF599C"/>
    <w:rsid w:val="00BF6B99"/>
    <w:rsid w:val="00BF78C9"/>
    <w:rsid w:val="00BF7EAF"/>
    <w:rsid w:val="00C014B5"/>
    <w:rsid w:val="00C01B7F"/>
    <w:rsid w:val="00C01F78"/>
    <w:rsid w:val="00C03661"/>
    <w:rsid w:val="00C053BA"/>
    <w:rsid w:val="00C05F35"/>
    <w:rsid w:val="00C06462"/>
    <w:rsid w:val="00C067F9"/>
    <w:rsid w:val="00C101A8"/>
    <w:rsid w:val="00C1116A"/>
    <w:rsid w:val="00C118BD"/>
    <w:rsid w:val="00C11FA0"/>
    <w:rsid w:val="00C13C22"/>
    <w:rsid w:val="00C14049"/>
    <w:rsid w:val="00C14BAB"/>
    <w:rsid w:val="00C175C0"/>
    <w:rsid w:val="00C178D9"/>
    <w:rsid w:val="00C2119A"/>
    <w:rsid w:val="00C21511"/>
    <w:rsid w:val="00C228BD"/>
    <w:rsid w:val="00C22E40"/>
    <w:rsid w:val="00C244CA"/>
    <w:rsid w:val="00C24882"/>
    <w:rsid w:val="00C24DAD"/>
    <w:rsid w:val="00C26DAC"/>
    <w:rsid w:val="00C3045D"/>
    <w:rsid w:val="00C31764"/>
    <w:rsid w:val="00C3197B"/>
    <w:rsid w:val="00C31EC4"/>
    <w:rsid w:val="00C33F66"/>
    <w:rsid w:val="00C3435E"/>
    <w:rsid w:val="00C34E76"/>
    <w:rsid w:val="00C3782B"/>
    <w:rsid w:val="00C406F3"/>
    <w:rsid w:val="00C41DF1"/>
    <w:rsid w:val="00C42C69"/>
    <w:rsid w:val="00C42D37"/>
    <w:rsid w:val="00C43057"/>
    <w:rsid w:val="00C430D6"/>
    <w:rsid w:val="00C43B5D"/>
    <w:rsid w:val="00C43D10"/>
    <w:rsid w:val="00C4402A"/>
    <w:rsid w:val="00C502D3"/>
    <w:rsid w:val="00C50473"/>
    <w:rsid w:val="00C50C96"/>
    <w:rsid w:val="00C515B9"/>
    <w:rsid w:val="00C5438E"/>
    <w:rsid w:val="00C5661A"/>
    <w:rsid w:val="00C575EE"/>
    <w:rsid w:val="00C622A5"/>
    <w:rsid w:val="00C62E4D"/>
    <w:rsid w:val="00C62FC5"/>
    <w:rsid w:val="00C634E8"/>
    <w:rsid w:val="00C6423A"/>
    <w:rsid w:val="00C64AA0"/>
    <w:rsid w:val="00C65438"/>
    <w:rsid w:val="00C65B0D"/>
    <w:rsid w:val="00C66704"/>
    <w:rsid w:val="00C7054D"/>
    <w:rsid w:val="00C71992"/>
    <w:rsid w:val="00C751EE"/>
    <w:rsid w:val="00C760E0"/>
    <w:rsid w:val="00C806F5"/>
    <w:rsid w:val="00C8071D"/>
    <w:rsid w:val="00C82B28"/>
    <w:rsid w:val="00C82DAE"/>
    <w:rsid w:val="00C84A7F"/>
    <w:rsid w:val="00C84AFC"/>
    <w:rsid w:val="00C852AB"/>
    <w:rsid w:val="00C873E6"/>
    <w:rsid w:val="00C87848"/>
    <w:rsid w:val="00C90412"/>
    <w:rsid w:val="00C926D0"/>
    <w:rsid w:val="00C93117"/>
    <w:rsid w:val="00C94439"/>
    <w:rsid w:val="00C978A2"/>
    <w:rsid w:val="00CA0DA6"/>
    <w:rsid w:val="00CA1C3C"/>
    <w:rsid w:val="00CA3324"/>
    <w:rsid w:val="00CA45DB"/>
    <w:rsid w:val="00CA4F75"/>
    <w:rsid w:val="00CA543D"/>
    <w:rsid w:val="00CA5FC0"/>
    <w:rsid w:val="00CA5FE7"/>
    <w:rsid w:val="00CA753F"/>
    <w:rsid w:val="00CA75AB"/>
    <w:rsid w:val="00CB03CA"/>
    <w:rsid w:val="00CB0AB5"/>
    <w:rsid w:val="00CB181D"/>
    <w:rsid w:val="00CB2043"/>
    <w:rsid w:val="00CB63A6"/>
    <w:rsid w:val="00CB6B9F"/>
    <w:rsid w:val="00CC10F1"/>
    <w:rsid w:val="00CC1545"/>
    <w:rsid w:val="00CC1814"/>
    <w:rsid w:val="00CC3B89"/>
    <w:rsid w:val="00CC3C2B"/>
    <w:rsid w:val="00CC4025"/>
    <w:rsid w:val="00CC464A"/>
    <w:rsid w:val="00CC5537"/>
    <w:rsid w:val="00CC69B0"/>
    <w:rsid w:val="00CC7DF9"/>
    <w:rsid w:val="00CD0210"/>
    <w:rsid w:val="00CD1623"/>
    <w:rsid w:val="00CD566D"/>
    <w:rsid w:val="00CD6924"/>
    <w:rsid w:val="00CD6C81"/>
    <w:rsid w:val="00CE1BD6"/>
    <w:rsid w:val="00CE2DF9"/>
    <w:rsid w:val="00CE3C3E"/>
    <w:rsid w:val="00CE4A45"/>
    <w:rsid w:val="00CE61B5"/>
    <w:rsid w:val="00CE7071"/>
    <w:rsid w:val="00CE7D41"/>
    <w:rsid w:val="00CF187E"/>
    <w:rsid w:val="00CF1D77"/>
    <w:rsid w:val="00CF2F24"/>
    <w:rsid w:val="00CF361D"/>
    <w:rsid w:val="00CF3722"/>
    <w:rsid w:val="00CF4C8D"/>
    <w:rsid w:val="00CF516A"/>
    <w:rsid w:val="00CF54C3"/>
    <w:rsid w:val="00CF6911"/>
    <w:rsid w:val="00CF6973"/>
    <w:rsid w:val="00CF6CE4"/>
    <w:rsid w:val="00CF756E"/>
    <w:rsid w:val="00CF7CBC"/>
    <w:rsid w:val="00D00E17"/>
    <w:rsid w:val="00D01E3F"/>
    <w:rsid w:val="00D02FFE"/>
    <w:rsid w:val="00D03C20"/>
    <w:rsid w:val="00D05B9A"/>
    <w:rsid w:val="00D05C48"/>
    <w:rsid w:val="00D06253"/>
    <w:rsid w:val="00D06358"/>
    <w:rsid w:val="00D06E40"/>
    <w:rsid w:val="00D078E6"/>
    <w:rsid w:val="00D1103D"/>
    <w:rsid w:val="00D11913"/>
    <w:rsid w:val="00D11E6A"/>
    <w:rsid w:val="00D134FF"/>
    <w:rsid w:val="00D16127"/>
    <w:rsid w:val="00D1703B"/>
    <w:rsid w:val="00D17F12"/>
    <w:rsid w:val="00D2238A"/>
    <w:rsid w:val="00D23475"/>
    <w:rsid w:val="00D235A0"/>
    <w:rsid w:val="00D23A02"/>
    <w:rsid w:val="00D23A18"/>
    <w:rsid w:val="00D2444A"/>
    <w:rsid w:val="00D24474"/>
    <w:rsid w:val="00D2527D"/>
    <w:rsid w:val="00D25775"/>
    <w:rsid w:val="00D259EF"/>
    <w:rsid w:val="00D25D1F"/>
    <w:rsid w:val="00D27200"/>
    <w:rsid w:val="00D32F0B"/>
    <w:rsid w:val="00D369F7"/>
    <w:rsid w:val="00D36B24"/>
    <w:rsid w:val="00D40313"/>
    <w:rsid w:val="00D406A2"/>
    <w:rsid w:val="00D420BE"/>
    <w:rsid w:val="00D4278E"/>
    <w:rsid w:val="00D46B30"/>
    <w:rsid w:val="00D504B2"/>
    <w:rsid w:val="00D53C92"/>
    <w:rsid w:val="00D5409D"/>
    <w:rsid w:val="00D5455B"/>
    <w:rsid w:val="00D54D6A"/>
    <w:rsid w:val="00D556BD"/>
    <w:rsid w:val="00D55A64"/>
    <w:rsid w:val="00D57C66"/>
    <w:rsid w:val="00D60195"/>
    <w:rsid w:val="00D61F48"/>
    <w:rsid w:val="00D6426D"/>
    <w:rsid w:val="00D652EC"/>
    <w:rsid w:val="00D65BD2"/>
    <w:rsid w:val="00D67CAC"/>
    <w:rsid w:val="00D67D6D"/>
    <w:rsid w:val="00D715C5"/>
    <w:rsid w:val="00D71E65"/>
    <w:rsid w:val="00D72143"/>
    <w:rsid w:val="00D738F2"/>
    <w:rsid w:val="00D7390F"/>
    <w:rsid w:val="00D73AD6"/>
    <w:rsid w:val="00D73BFE"/>
    <w:rsid w:val="00D74250"/>
    <w:rsid w:val="00D75240"/>
    <w:rsid w:val="00D7527B"/>
    <w:rsid w:val="00D75C5D"/>
    <w:rsid w:val="00D75F3E"/>
    <w:rsid w:val="00D76317"/>
    <w:rsid w:val="00D77A70"/>
    <w:rsid w:val="00D77B60"/>
    <w:rsid w:val="00D81B8A"/>
    <w:rsid w:val="00D82045"/>
    <w:rsid w:val="00D8308D"/>
    <w:rsid w:val="00D8313A"/>
    <w:rsid w:val="00D837BE"/>
    <w:rsid w:val="00D842F4"/>
    <w:rsid w:val="00D8459E"/>
    <w:rsid w:val="00D85345"/>
    <w:rsid w:val="00D86192"/>
    <w:rsid w:val="00D8642E"/>
    <w:rsid w:val="00D877EA"/>
    <w:rsid w:val="00D9048E"/>
    <w:rsid w:val="00D9329E"/>
    <w:rsid w:val="00D9340D"/>
    <w:rsid w:val="00D938D1"/>
    <w:rsid w:val="00D94B98"/>
    <w:rsid w:val="00D966FF"/>
    <w:rsid w:val="00D967FC"/>
    <w:rsid w:val="00D96DF5"/>
    <w:rsid w:val="00DA0CD3"/>
    <w:rsid w:val="00DA32D0"/>
    <w:rsid w:val="00DA3513"/>
    <w:rsid w:val="00DA480A"/>
    <w:rsid w:val="00DB02B0"/>
    <w:rsid w:val="00DB2568"/>
    <w:rsid w:val="00DB2637"/>
    <w:rsid w:val="00DB2795"/>
    <w:rsid w:val="00DB32BE"/>
    <w:rsid w:val="00DB47B1"/>
    <w:rsid w:val="00DB576B"/>
    <w:rsid w:val="00DB5BA6"/>
    <w:rsid w:val="00DB5E99"/>
    <w:rsid w:val="00DB6902"/>
    <w:rsid w:val="00DB7A9F"/>
    <w:rsid w:val="00DC2AA0"/>
    <w:rsid w:val="00DC61F8"/>
    <w:rsid w:val="00DC622D"/>
    <w:rsid w:val="00DC6C82"/>
    <w:rsid w:val="00DC6C92"/>
    <w:rsid w:val="00DC6D2D"/>
    <w:rsid w:val="00DC72A5"/>
    <w:rsid w:val="00DC7C1D"/>
    <w:rsid w:val="00DD463C"/>
    <w:rsid w:val="00DD711E"/>
    <w:rsid w:val="00DE204E"/>
    <w:rsid w:val="00DE44B1"/>
    <w:rsid w:val="00DE4FA6"/>
    <w:rsid w:val="00DE58E3"/>
    <w:rsid w:val="00DF12FD"/>
    <w:rsid w:val="00DF1FB4"/>
    <w:rsid w:val="00DF2840"/>
    <w:rsid w:val="00DF374E"/>
    <w:rsid w:val="00DF3F75"/>
    <w:rsid w:val="00DF402D"/>
    <w:rsid w:val="00DF4410"/>
    <w:rsid w:val="00DF4561"/>
    <w:rsid w:val="00DF5134"/>
    <w:rsid w:val="00DF726C"/>
    <w:rsid w:val="00DF7C4B"/>
    <w:rsid w:val="00E004F0"/>
    <w:rsid w:val="00E00E54"/>
    <w:rsid w:val="00E01E13"/>
    <w:rsid w:val="00E059D5"/>
    <w:rsid w:val="00E065A3"/>
    <w:rsid w:val="00E10A71"/>
    <w:rsid w:val="00E12720"/>
    <w:rsid w:val="00E1328D"/>
    <w:rsid w:val="00E1482F"/>
    <w:rsid w:val="00E14CC7"/>
    <w:rsid w:val="00E153B4"/>
    <w:rsid w:val="00E16684"/>
    <w:rsid w:val="00E16989"/>
    <w:rsid w:val="00E16A73"/>
    <w:rsid w:val="00E176D6"/>
    <w:rsid w:val="00E20A8D"/>
    <w:rsid w:val="00E214B4"/>
    <w:rsid w:val="00E22D6C"/>
    <w:rsid w:val="00E235FF"/>
    <w:rsid w:val="00E23AB2"/>
    <w:rsid w:val="00E25C19"/>
    <w:rsid w:val="00E26391"/>
    <w:rsid w:val="00E272D7"/>
    <w:rsid w:val="00E2738E"/>
    <w:rsid w:val="00E30F3D"/>
    <w:rsid w:val="00E31B8E"/>
    <w:rsid w:val="00E3274C"/>
    <w:rsid w:val="00E32D68"/>
    <w:rsid w:val="00E335E6"/>
    <w:rsid w:val="00E342F0"/>
    <w:rsid w:val="00E34F89"/>
    <w:rsid w:val="00E35AB6"/>
    <w:rsid w:val="00E35FA5"/>
    <w:rsid w:val="00E36C63"/>
    <w:rsid w:val="00E40829"/>
    <w:rsid w:val="00E41BEC"/>
    <w:rsid w:val="00E41E8A"/>
    <w:rsid w:val="00E42128"/>
    <w:rsid w:val="00E4217C"/>
    <w:rsid w:val="00E42444"/>
    <w:rsid w:val="00E44018"/>
    <w:rsid w:val="00E44070"/>
    <w:rsid w:val="00E442E4"/>
    <w:rsid w:val="00E51151"/>
    <w:rsid w:val="00E5187F"/>
    <w:rsid w:val="00E51C75"/>
    <w:rsid w:val="00E525EE"/>
    <w:rsid w:val="00E52730"/>
    <w:rsid w:val="00E527D9"/>
    <w:rsid w:val="00E52F84"/>
    <w:rsid w:val="00E53C70"/>
    <w:rsid w:val="00E544AC"/>
    <w:rsid w:val="00E54E1E"/>
    <w:rsid w:val="00E55CD6"/>
    <w:rsid w:val="00E56714"/>
    <w:rsid w:val="00E57603"/>
    <w:rsid w:val="00E60213"/>
    <w:rsid w:val="00E61BC9"/>
    <w:rsid w:val="00E6250D"/>
    <w:rsid w:val="00E62C56"/>
    <w:rsid w:val="00E6370B"/>
    <w:rsid w:val="00E6397F"/>
    <w:rsid w:val="00E644D1"/>
    <w:rsid w:val="00E65EB4"/>
    <w:rsid w:val="00E667B7"/>
    <w:rsid w:val="00E66851"/>
    <w:rsid w:val="00E67281"/>
    <w:rsid w:val="00E707BD"/>
    <w:rsid w:val="00E728E2"/>
    <w:rsid w:val="00E72E1D"/>
    <w:rsid w:val="00E72E20"/>
    <w:rsid w:val="00E73092"/>
    <w:rsid w:val="00E73B97"/>
    <w:rsid w:val="00E75B6E"/>
    <w:rsid w:val="00E7658F"/>
    <w:rsid w:val="00E80D19"/>
    <w:rsid w:val="00E811D8"/>
    <w:rsid w:val="00E8170A"/>
    <w:rsid w:val="00E8171F"/>
    <w:rsid w:val="00E81C00"/>
    <w:rsid w:val="00E83BB3"/>
    <w:rsid w:val="00E846EE"/>
    <w:rsid w:val="00E8500D"/>
    <w:rsid w:val="00E85ED1"/>
    <w:rsid w:val="00E87DD0"/>
    <w:rsid w:val="00E87EB7"/>
    <w:rsid w:val="00E905D4"/>
    <w:rsid w:val="00E905D9"/>
    <w:rsid w:val="00E921E0"/>
    <w:rsid w:val="00E925A1"/>
    <w:rsid w:val="00E92683"/>
    <w:rsid w:val="00E929D9"/>
    <w:rsid w:val="00E97B44"/>
    <w:rsid w:val="00E97D6F"/>
    <w:rsid w:val="00EA00B2"/>
    <w:rsid w:val="00EA124F"/>
    <w:rsid w:val="00EA13FE"/>
    <w:rsid w:val="00EA1468"/>
    <w:rsid w:val="00EA1A2A"/>
    <w:rsid w:val="00EA4C79"/>
    <w:rsid w:val="00EA6184"/>
    <w:rsid w:val="00EA6484"/>
    <w:rsid w:val="00EA7485"/>
    <w:rsid w:val="00EB0364"/>
    <w:rsid w:val="00EB389E"/>
    <w:rsid w:val="00EB6244"/>
    <w:rsid w:val="00EB75E6"/>
    <w:rsid w:val="00EC090B"/>
    <w:rsid w:val="00EC1173"/>
    <w:rsid w:val="00EC1E50"/>
    <w:rsid w:val="00EC200B"/>
    <w:rsid w:val="00EC2DF6"/>
    <w:rsid w:val="00EC3097"/>
    <w:rsid w:val="00EC549F"/>
    <w:rsid w:val="00EC63BA"/>
    <w:rsid w:val="00EC6A56"/>
    <w:rsid w:val="00ED21FA"/>
    <w:rsid w:val="00ED3910"/>
    <w:rsid w:val="00ED3DA5"/>
    <w:rsid w:val="00ED56BB"/>
    <w:rsid w:val="00ED683B"/>
    <w:rsid w:val="00ED7E6F"/>
    <w:rsid w:val="00EE1499"/>
    <w:rsid w:val="00EE21B8"/>
    <w:rsid w:val="00EE2626"/>
    <w:rsid w:val="00EE40E4"/>
    <w:rsid w:val="00EE4805"/>
    <w:rsid w:val="00EE61C2"/>
    <w:rsid w:val="00EE7ED0"/>
    <w:rsid w:val="00EF0179"/>
    <w:rsid w:val="00EF222F"/>
    <w:rsid w:val="00EF2DE6"/>
    <w:rsid w:val="00EF33D7"/>
    <w:rsid w:val="00EF3521"/>
    <w:rsid w:val="00EF4709"/>
    <w:rsid w:val="00EF54EE"/>
    <w:rsid w:val="00EF6A65"/>
    <w:rsid w:val="00EF6CA3"/>
    <w:rsid w:val="00EF6DEF"/>
    <w:rsid w:val="00EF740A"/>
    <w:rsid w:val="00F0209C"/>
    <w:rsid w:val="00F02EFD"/>
    <w:rsid w:val="00F02F7D"/>
    <w:rsid w:val="00F03038"/>
    <w:rsid w:val="00F03F2B"/>
    <w:rsid w:val="00F0465D"/>
    <w:rsid w:val="00F0469B"/>
    <w:rsid w:val="00F04980"/>
    <w:rsid w:val="00F062B2"/>
    <w:rsid w:val="00F07A4E"/>
    <w:rsid w:val="00F07E81"/>
    <w:rsid w:val="00F13B72"/>
    <w:rsid w:val="00F13BBB"/>
    <w:rsid w:val="00F15035"/>
    <w:rsid w:val="00F15E92"/>
    <w:rsid w:val="00F16813"/>
    <w:rsid w:val="00F17C6D"/>
    <w:rsid w:val="00F17CDD"/>
    <w:rsid w:val="00F20F28"/>
    <w:rsid w:val="00F24A46"/>
    <w:rsid w:val="00F24F17"/>
    <w:rsid w:val="00F25C02"/>
    <w:rsid w:val="00F309A3"/>
    <w:rsid w:val="00F31406"/>
    <w:rsid w:val="00F34AA6"/>
    <w:rsid w:val="00F35412"/>
    <w:rsid w:val="00F35F28"/>
    <w:rsid w:val="00F361A8"/>
    <w:rsid w:val="00F364A9"/>
    <w:rsid w:val="00F36A97"/>
    <w:rsid w:val="00F37366"/>
    <w:rsid w:val="00F37E26"/>
    <w:rsid w:val="00F40310"/>
    <w:rsid w:val="00F42CD1"/>
    <w:rsid w:val="00F46659"/>
    <w:rsid w:val="00F467B1"/>
    <w:rsid w:val="00F47462"/>
    <w:rsid w:val="00F512BD"/>
    <w:rsid w:val="00F51C3D"/>
    <w:rsid w:val="00F51D96"/>
    <w:rsid w:val="00F5288F"/>
    <w:rsid w:val="00F53182"/>
    <w:rsid w:val="00F546BC"/>
    <w:rsid w:val="00F554FA"/>
    <w:rsid w:val="00F5721D"/>
    <w:rsid w:val="00F60B06"/>
    <w:rsid w:val="00F624C5"/>
    <w:rsid w:val="00F6258A"/>
    <w:rsid w:val="00F62845"/>
    <w:rsid w:val="00F63123"/>
    <w:rsid w:val="00F636C6"/>
    <w:rsid w:val="00F64224"/>
    <w:rsid w:val="00F65652"/>
    <w:rsid w:val="00F66D20"/>
    <w:rsid w:val="00F67347"/>
    <w:rsid w:val="00F67559"/>
    <w:rsid w:val="00F710C3"/>
    <w:rsid w:val="00F7268D"/>
    <w:rsid w:val="00F72931"/>
    <w:rsid w:val="00F72E9F"/>
    <w:rsid w:val="00F7301D"/>
    <w:rsid w:val="00F74819"/>
    <w:rsid w:val="00F76999"/>
    <w:rsid w:val="00F773FE"/>
    <w:rsid w:val="00F80339"/>
    <w:rsid w:val="00F80899"/>
    <w:rsid w:val="00F8356C"/>
    <w:rsid w:val="00F83BF2"/>
    <w:rsid w:val="00F84437"/>
    <w:rsid w:val="00F85E31"/>
    <w:rsid w:val="00F865CE"/>
    <w:rsid w:val="00F870C3"/>
    <w:rsid w:val="00F87922"/>
    <w:rsid w:val="00F879C9"/>
    <w:rsid w:val="00F90163"/>
    <w:rsid w:val="00F9085F"/>
    <w:rsid w:val="00F90EE8"/>
    <w:rsid w:val="00F9187C"/>
    <w:rsid w:val="00F91C4E"/>
    <w:rsid w:val="00F920F0"/>
    <w:rsid w:val="00F92AF6"/>
    <w:rsid w:val="00F9304C"/>
    <w:rsid w:val="00F930D9"/>
    <w:rsid w:val="00F931C9"/>
    <w:rsid w:val="00F93857"/>
    <w:rsid w:val="00F94012"/>
    <w:rsid w:val="00F94FF0"/>
    <w:rsid w:val="00FA0AEE"/>
    <w:rsid w:val="00FA22AE"/>
    <w:rsid w:val="00FA29D1"/>
    <w:rsid w:val="00FA37DC"/>
    <w:rsid w:val="00FA3EC0"/>
    <w:rsid w:val="00FA4A59"/>
    <w:rsid w:val="00FA4D1A"/>
    <w:rsid w:val="00FA5A6E"/>
    <w:rsid w:val="00FA72FB"/>
    <w:rsid w:val="00FA7EDE"/>
    <w:rsid w:val="00FB19A2"/>
    <w:rsid w:val="00FB2E06"/>
    <w:rsid w:val="00FB30F5"/>
    <w:rsid w:val="00FB3D2B"/>
    <w:rsid w:val="00FB3D57"/>
    <w:rsid w:val="00FB4265"/>
    <w:rsid w:val="00FB42FE"/>
    <w:rsid w:val="00FB569C"/>
    <w:rsid w:val="00FC004D"/>
    <w:rsid w:val="00FC0FA6"/>
    <w:rsid w:val="00FC411A"/>
    <w:rsid w:val="00FC5711"/>
    <w:rsid w:val="00FC5C63"/>
    <w:rsid w:val="00FC5DF0"/>
    <w:rsid w:val="00FC754C"/>
    <w:rsid w:val="00FC7AA3"/>
    <w:rsid w:val="00FC7C85"/>
    <w:rsid w:val="00FD2059"/>
    <w:rsid w:val="00FD5A66"/>
    <w:rsid w:val="00FE19DC"/>
    <w:rsid w:val="00FE50BD"/>
    <w:rsid w:val="00FE517D"/>
    <w:rsid w:val="00FE5315"/>
    <w:rsid w:val="00FE599A"/>
    <w:rsid w:val="00FE5F5B"/>
    <w:rsid w:val="00FE63DE"/>
    <w:rsid w:val="00FE6416"/>
    <w:rsid w:val="00FE6581"/>
    <w:rsid w:val="00FE6A04"/>
    <w:rsid w:val="00FE6AC4"/>
    <w:rsid w:val="00FE6BC8"/>
    <w:rsid w:val="00FF06B3"/>
    <w:rsid w:val="00FF0F0B"/>
    <w:rsid w:val="00FF1C9D"/>
    <w:rsid w:val="00FF273E"/>
    <w:rsid w:val="00FF3401"/>
    <w:rsid w:val="00FF3522"/>
    <w:rsid w:val="00FF4DCB"/>
    <w:rsid w:val="00FF4E3A"/>
    <w:rsid w:val="00FF4FDE"/>
    <w:rsid w:val="00FF6122"/>
    <w:rsid w:val="00FF61AD"/>
    <w:rsid w:val="00FF6B6E"/>
    <w:rsid w:val="00FF71C9"/>
    <w:rsid w:val="00FF7FE6"/>
    <w:rsid w:val="07E91C11"/>
    <w:rsid w:val="29EF6CB2"/>
    <w:rsid w:val="29FF9FA0"/>
    <w:rsid w:val="46128869"/>
    <w:rsid w:val="5A466B98"/>
    <w:rsid w:val="5A8E7110"/>
    <w:rsid w:val="6369CF9B"/>
    <w:rsid w:val="65C0AA5C"/>
    <w:rsid w:val="7799F270"/>
    <w:rsid w:val="7FDFB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0708C"/>
  <w15:chartTrackingRefBased/>
  <w15:docId w15:val="{9536FF44-2505-8348-BAB3-302A9B32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88F"/>
    <w:pPr>
      <w:keepNext/>
      <w:keepLines/>
      <w:spacing w:before="360" w:after="80"/>
      <w:outlineLvl w:val="0"/>
    </w:pPr>
    <w:rPr>
      <w:rFonts w:asciiTheme="majorHAnsi" w:eastAsiaTheme="majorEastAsia" w:hAnsiTheme="majorHAnsi" w:cstheme="majorBidi"/>
      <w:color w:val="B3186D" w:themeColor="accent1" w:themeShade="BF"/>
      <w:sz w:val="40"/>
      <w:szCs w:val="40"/>
    </w:rPr>
  </w:style>
  <w:style w:type="paragraph" w:styleId="Heading2">
    <w:name w:val="heading 2"/>
    <w:basedOn w:val="Normal"/>
    <w:next w:val="Normal"/>
    <w:link w:val="Heading2Char"/>
    <w:uiPriority w:val="9"/>
    <w:unhideWhenUsed/>
    <w:qFormat/>
    <w:rsid w:val="00F5288F"/>
    <w:pPr>
      <w:keepNext/>
      <w:keepLines/>
      <w:spacing w:before="160" w:after="80"/>
      <w:outlineLvl w:val="1"/>
    </w:pPr>
    <w:rPr>
      <w:rFonts w:asciiTheme="majorHAnsi" w:eastAsiaTheme="majorEastAsia" w:hAnsiTheme="majorHAnsi" w:cstheme="majorBidi"/>
      <w:color w:val="B3186D" w:themeColor="accent1" w:themeShade="BF"/>
      <w:sz w:val="32"/>
      <w:szCs w:val="32"/>
    </w:rPr>
  </w:style>
  <w:style w:type="paragraph" w:styleId="Heading3">
    <w:name w:val="heading 3"/>
    <w:basedOn w:val="Normal"/>
    <w:next w:val="Normal"/>
    <w:link w:val="Heading3Char"/>
    <w:uiPriority w:val="9"/>
    <w:unhideWhenUsed/>
    <w:qFormat/>
    <w:rsid w:val="00F5288F"/>
    <w:pPr>
      <w:keepNext/>
      <w:keepLines/>
      <w:spacing w:before="160" w:after="80"/>
      <w:outlineLvl w:val="2"/>
    </w:pPr>
    <w:rPr>
      <w:rFonts w:eastAsiaTheme="majorEastAsia" w:cstheme="majorBidi"/>
      <w:color w:val="B3186D" w:themeColor="accent1" w:themeShade="BF"/>
      <w:sz w:val="28"/>
      <w:szCs w:val="28"/>
    </w:rPr>
  </w:style>
  <w:style w:type="paragraph" w:styleId="Heading4">
    <w:name w:val="heading 4"/>
    <w:basedOn w:val="Normal"/>
    <w:next w:val="Normal"/>
    <w:link w:val="Heading4Char"/>
    <w:uiPriority w:val="9"/>
    <w:semiHidden/>
    <w:unhideWhenUsed/>
    <w:qFormat/>
    <w:rsid w:val="00F5288F"/>
    <w:pPr>
      <w:keepNext/>
      <w:keepLines/>
      <w:spacing w:before="80" w:after="40"/>
      <w:outlineLvl w:val="3"/>
    </w:pPr>
    <w:rPr>
      <w:rFonts w:eastAsiaTheme="majorEastAsia" w:cstheme="majorBidi"/>
      <w:i/>
      <w:iCs/>
      <w:color w:val="B3186D" w:themeColor="accent1" w:themeShade="BF"/>
    </w:rPr>
  </w:style>
  <w:style w:type="paragraph" w:styleId="Heading5">
    <w:name w:val="heading 5"/>
    <w:basedOn w:val="Normal"/>
    <w:next w:val="Normal"/>
    <w:link w:val="Heading5Char"/>
    <w:uiPriority w:val="9"/>
    <w:semiHidden/>
    <w:unhideWhenUsed/>
    <w:qFormat/>
    <w:rsid w:val="00F5288F"/>
    <w:pPr>
      <w:keepNext/>
      <w:keepLines/>
      <w:spacing w:before="80" w:after="40"/>
      <w:outlineLvl w:val="4"/>
    </w:pPr>
    <w:rPr>
      <w:rFonts w:eastAsiaTheme="majorEastAsia" w:cstheme="majorBidi"/>
      <w:color w:val="B3186D" w:themeColor="accent1" w:themeShade="BF"/>
    </w:rPr>
  </w:style>
  <w:style w:type="paragraph" w:styleId="Heading6">
    <w:name w:val="heading 6"/>
    <w:basedOn w:val="Normal"/>
    <w:next w:val="Normal"/>
    <w:link w:val="Heading6Char"/>
    <w:uiPriority w:val="9"/>
    <w:semiHidden/>
    <w:unhideWhenUsed/>
    <w:qFormat/>
    <w:rsid w:val="00F528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8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8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8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88F"/>
    <w:rPr>
      <w:rFonts w:asciiTheme="majorHAnsi" w:eastAsiaTheme="majorEastAsia" w:hAnsiTheme="majorHAnsi" w:cstheme="majorBidi"/>
      <w:color w:val="B3186D" w:themeColor="accent1" w:themeShade="BF"/>
      <w:sz w:val="40"/>
      <w:szCs w:val="40"/>
    </w:rPr>
  </w:style>
  <w:style w:type="character" w:customStyle="1" w:styleId="Heading2Char">
    <w:name w:val="Heading 2 Char"/>
    <w:basedOn w:val="DefaultParagraphFont"/>
    <w:link w:val="Heading2"/>
    <w:uiPriority w:val="9"/>
    <w:rsid w:val="00F5288F"/>
    <w:rPr>
      <w:rFonts w:asciiTheme="majorHAnsi" w:eastAsiaTheme="majorEastAsia" w:hAnsiTheme="majorHAnsi" w:cstheme="majorBidi"/>
      <w:color w:val="B3186D" w:themeColor="accent1" w:themeShade="BF"/>
      <w:sz w:val="32"/>
      <w:szCs w:val="32"/>
    </w:rPr>
  </w:style>
  <w:style w:type="character" w:customStyle="1" w:styleId="Heading3Char">
    <w:name w:val="Heading 3 Char"/>
    <w:basedOn w:val="DefaultParagraphFont"/>
    <w:link w:val="Heading3"/>
    <w:uiPriority w:val="9"/>
    <w:rsid w:val="00F5288F"/>
    <w:rPr>
      <w:rFonts w:eastAsiaTheme="majorEastAsia" w:cstheme="majorBidi"/>
      <w:color w:val="B3186D" w:themeColor="accent1" w:themeShade="BF"/>
      <w:sz w:val="28"/>
      <w:szCs w:val="28"/>
    </w:rPr>
  </w:style>
  <w:style w:type="character" w:customStyle="1" w:styleId="Heading4Char">
    <w:name w:val="Heading 4 Char"/>
    <w:basedOn w:val="DefaultParagraphFont"/>
    <w:link w:val="Heading4"/>
    <w:uiPriority w:val="9"/>
    <w:semiHidden/>
    <w:rsid w:val="00F5288F"/>
    <w:rPr>
      <w:rFonts w:eastAsiaTheme="majorEastAsia" w:cstheme="majorBidi"/>
      <w:i/>
      <w:iCs/>
      <w:color w:val="B3186D" w:themeColor="accent1" w:themeShade="BF"/>
    </w:rPr>
  </w:style>
  <w:style w:type="character" w:customStyle="1" w:styleId="Heading5Char">
    <w:name w:val="Heading 5 Char"/>
    <w:basedOn w:val="DefaultParagraphFont"/>
    <w:link w:val="Heading5"/>
    <w:uiPriority w:val="9"/>
    <w:semiHidden/>
    <w:rsid w:val="00F5288F"/>
    <w:rPr>
      <w:rFonts w:eastAsiaTheme="majorEastAsia" w:cstheme="majorBidi"/>
      <w:color w:val="B3186D" w:themeColor="accent1" w:themeShade="BF"/>
    </w:rPr>
  </w:style>
  <w:style w:type="character" w:customStyle="1" w:styleId="Heading6Char">
    <w:name w:val="Heading 6 Char"/>
    <w:basedOn w:val="DefaultParagraphFont"/>
    <w:link w:val="Heading6"/>
    <w:uiPriority w:val="9"/>
    <w:semiHidden/>
    <w:rsid w:val="00F52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88F"/>
    <w:rPr>
      <w:rFonts w:eastAsiaTheme="majorEastAsia" w:cstheme="majorBidi"/>
      <w:color w:val="272727" w:themeColor="text1" w:themeTint="D8"/>
    </w:rPr>
  </w:style>
  <w:style w:type="paragraph" w:styleId="Title">
    <w:name w:val="Title"/>
    <w:basedOn w:val="Normal"/>
    <w:next w:val="Normal"/>
    <w:link w:val="TitleChar"/>
    <w:uiPriority w:val="10"/>
    <w:qFormat/>
    <w:rsid w:val="00F528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8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8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288F"/>
    <w:rPr>
      <w:i/>
      <w:iCs/>
      <w:color w:val="404040" w:themeColor="text1" w:themeTint="BF"/>
    </w:rPr>
  </w:style>
  <w:style w:type="paragraph" w:styleId="ListParagraph">
    <w:name w:val="List Paragraph"/>
    <w:basedOn w:val="Normal"/>
    <w:uiPriority w:val="34"/>
    <w:qFormat/>
    <w:rsid w:val="00F5288F"/>
    <w:pPr>
      <w:ind w:left="720"/>
      <w:contextualSpacing/>
    </w:pPr>
  </w:style>
  <w:style w:type="character" w:styleId="IntenseEmphasis">
    <w:name w:val="Intense Emphasis"/>
    <w:basedOn w:val="DefaultParagraphFont"/>
    <w:uiPriority w:val="21"/>
    <w:qFormat/>
    <w:rsid w:val="00F5288F"/>
    <w:rPr>
      <w:i/>
      <w:iCs/>
      <w:color w:val="B3186D" w:themeColor="accent1" w:themeShade="BF"/>
    </w:rPr>
  </w:style>
  <w:style w:type="paragraph" w:styleId="IntenseQuote">
    <w:name w:val="Intense Quote"/>
    <w:basedOn w:val="Normal"/>
    <w:next w:val="Normal"/>
    <w:link w:val="IntenseQuoteChar"/>
    <w:uiPriority w:val="30"/>
    <w:qFormat/>
    <w:rsid w:val="00F5288F"/>
    <w:pPr>
      <w:pBdr>
        <w:top w:val="single" w:sz="4" w:space="10" w:color="B3186D" w:themeColor="accent1" w:themeShade="BF"/>
        <w:bottom w:val="single" w:sz="4" w:space="10" w:color="B3186D" w:themeColor="accent1" w:themeShade="BF"/>
      </w:pBdr>
      <w:spacing w:before="360" w:after="360"/>
      <w:ind w:left="864" w:right="864"/>
      <w:jc w:val="center"/>
    </w:pPr>
    <w:rPr>
      <w:i/>
      <w:iCs/>
      <w:color w:val="B3186D" w:themeColor="accent1" w:themeShade="BF"/>
    </w:rPr>
  </w:style>
  <w:style w:type="character" w:customStyle="1" w:styleId="IntenseQuoteChar">
    <w:name w:val="Intense Quote Char"/>
    <w:basedOn w:val="DefaultParagraphFont"/>
    <w:link w:val="IntenseQuote"/>
    <w:uiPriority w:val="30"/>
    <w:rsid w:val="00F5288F"/>
    <w:rPr>
      <w:i/>
      <w:iCs/>
      <w:color w:val="B3186D" w:themeColor="accent1" w:themeShade="BF"/>
    </w:rPr>
  </w:style>
  <w:style w:type="character" w:styleId="IntenseReference">
    <w:name w:val="Intense Reference"/>
    <w:basedOn w:val="DefaultParagraphFont"/>
    <w:uiPriority w:val="32"/>
    <w:qFormat/>
    <w:rsid w:val="00F5288F"/>
    <w:rPr>
      <w:b/>
      <w:bCs/>
      <w:smallCaps/>
      <w:color w:val="B3186D" w:themeColor="accent1" w:themeShade="BF"/>
      <w:spacing w:val="5"/>
    </w:rPr>
  </w:style>
  <w:style w:type="paragraph" w:styleId="NormalWeb">
    <w:name w:val="Normal (Web)"/>
    <w:basedOn w:val="Normal"/>
    <w:uiPriority w:val="99"/>
    <w:semiHidden/>
    <w:unhideWhenUsed/>
    <w:rsid w:val="00F5288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727E57"/>
    <w:pPr>
      <w:tabs>
        <w:tab w:val="center" w:pos="4513"/>
        <w:tab w:val="right" w:pos="9026"/>
      </w:tabs>
    </w:pPr>
  </w:style>
  <w:style w:type="character" w:customStyle="1" w:styleId="HeaderChar">
    <w:name w:val="Header Char"/>
    <w:basedOn w:val="DefaultParagraphFont"/>
    <w:link w:val="Header"/>
    <w:uiPriority w:val="99"/>
    <w:rsid w:val="00727E57"/>
  </w:style>
  <w:style w:type="paragraph" w:styleId="Footer">
    <w:name w:val="footer"/>
    <w:basedOn w:val="Normal"/>
    <w:link w:val="FooterChar"/>
    <w:uiPriority w:val="99"/>
    <w:unhideWhenUsed/>
    <w:rsid w:val="00727E57"/>
    <w:pPr>
      <w:tabs>
        <w:tab w:val="center" w:pos="4513"/>
        <w:tab w:val="right" w:pos="9026"/>
      </w:tabs>
    </w:pPr>
  </w:style>
  <w:style w:type="character" w:customStyle="1" w:styleId="FooterChar">
    <w:name w:val="Footer Char"/>
    <w:basedOn w:val="DefaultParagraphFont"/>
    <w:link w:val="Footer"/>
    <w:uiPriority w:val="99"/>
    <w:rsid w:val="00727E57"/>
  </w:style>
  <w:style w:type="character" w:styleId="Hyperlink">
    <w:name w:val="Hyperlink"/>
    <w:basedOn w:val="DefaultParagraphFont"/>
    <w:uiPriority w:val="99"/>
    <w:unhideWhenUsed/>
    <w:rsid w:val="00FE6BC8"/>
    <w:rPr>
      <w:color w:val="6B9F25" w:themeColor="hyperlink"/>
      <w:u w:val="single"/>
    </w:rPr>
  </w:style>
  <w:style w:type="character" w:styleId="UnresolvedMention">
    <w:name w:val="Unresolved Mention"/>
    <w:basedOn w:val="DefaultParagraphFont"/>
    <w:uiPriority w:val="99"/>
    <w:semiHidden/>
    <w:unhideWhenUsed/>
    <w:rsid w:val="00FE6BC8"/>
    <w:rPr>
      <w:color w:val="605E5C"/>
      <w:shd w:val="clear" w:color="auto" w:fill="E1DFDD"/>
    </w:rPr>
  </w:style>
  <w:style w:type="paragraph" w:customStyle="1" w:styleId="p1">
    <w:name w:val="p1"/>
    <w:basedOn w:val="Normal"/>
    <w:rsid w:val="00470349"/>
    <w:rPr>
      <w:rFonts w:ascii="Helvetica" w:eastAsiaTheme="minorEastAsia" w:hAnsi="Helvetica" w:cs="Times New Roman"/>
      <w:kern w:val="0"/>
      <w:sz w:val="18"/>
      <w:szCs w:val="18"/>
      <w:lang w:eastAsia="en-GB"/>
      <w14:ligatures w14:val="none"/>
    </w:rPr>
  </w:style>
  <w:style w:type="character" w:customStyle="1" w:styleId="s1">
    <w:name w:val="s1"/>
    <w:basedOn w:val="DefaultParagraphFont"/>
    <w:rsid w:val="00470349"/>
    <w:rPr>
      <w:rFonts w:ascii="Helvetica" w:hAnsi="Helvetica" w:hint="default"/>
      <w:b w:val="0"/>
      <w:bCs w:val="0"/>
      <w:i w:val="0"/>
      <w:iCs w:val="0"/>
      <w:sz w:val="18"/>
      <w:szCs w:val="18"/>
    </w:rPr>
  </w:style>
  <w:style w:type="character" w:styleId="FollowedHyperlink">
    <w:name w:val="FollowedHyperlink"/>
    <w:basedOn w:val="DefaultParagraphFont"/>
    <w:uiPriority w:val="99"/>
    <w:semiHidden/>
    <w:unhideWhenUsed/>
    <w:rsid w:val="003213B4"/>
    <w:rPr>
      <w:color w:val="8C8C8C" w:themeColor="followedHyperlink"/>
      <w:u w:val="single"/>
    </w:rPr>
  </w:style>
  <w:style w:type="character" w:customStyle="1" w:styleId="apple-converted-space">
    <w:name w:val="apple-converted-space"/>
    <w:basedOn w:val="DefaultParagraphFont"/>
    <w:rsid w:val="001749B0"/>
  </w:style>
  <w:style w:type="character" w:customStyle="1" w:styleId="t286pc">
    <w:name w:val="t286pc"/>
    <w:basedOn w:val="DefaultParagraphFont"/>
    <w:rsid w:val="00FC5C63"/>
  </w:style>
  <w:style w:type="character" w:styleId="Strong">
    <w:name w:val="Strong"/>
    <w:basedOn w:val="DefaultParagraphFont"/>
    <w:uiPriority w:val="22"/>
    <w:qFormat/>
    <w:rsid w:val="00FC5C63"/>
    <w:rPr>
      <w:b/>
      <w:bCs/>
    </w:rPr>
  </w:style>
  <w:style w:type="character" w:customStyle="1" w:styleId="vkekvd">
    <w:name w:val="vkekvd"/>
    <w:basedOn w:val="DefaultParagraphFont"/>
    <w:rsid w:val="0057599D"/>
  </w:style>
  <w:style w:type="paragraph" w:customStyle="1" w:styleId="df3vjf">
    <w:name w:val="df3vjf"/>
    <w:basedOn w:val="Normal"/>
    <w:rsid w:val="0057599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ifmvxd">
    <w:name w:val="ifmvxd"/>
    <w:basedOn w:val="DefaultParagraphFont"/>
    <w:rsid w:val="0057599D"/>
  </w:style>
  <w:style w:type="character" w:customStyle="1" w:styleId="ijm6od">
    <w:name w:val="ijm6od"/>
    <w:basedOn w:val="DefaultParagraphFont"/>
    <w:rsid w:val="0057599D"/>
  </w:style>
  <w:style w:type="character" w:styleId="Emphasis">
    <w:name w:val="Emphasis"/>
    <w:basedOn w:val="DefaultParagraphFont"/>
    <w:uiPriority w:val="20"/>
    <w:qFormat/>
    <w:rsid w:val="00FE50BD"/>
    <w:rPr>
      <w:i/>
      <w:iCs/>
    </w:rPr>
  </w:style>
  <w:style w:type="paragraph" w:customStyle="1" w:styleId="p2">
    <w:name w:val="p2"/>
    <w:basedOn w:val="Normal"/>
    <w:rsid w:val="00946FBC"/>
    <w:pPr>
      <w:spacing w:before="180"/>
      <w:ind w:left="345" w:hanging="345"/>
    </w:pPr>
    <w:rPr>
      <w:rFonts w:ascii=".AppleSystemUIFont" w:eastAsiaTheme="minorEastAsia" w:hAnsi=".AppleSystemUIFont" w:cs="Times New Roman"/>
      <w:color w:val="111111"/>
      <w:kern w:val="0"/>
      <w:sz w:val="26"/>
      <w:szCs w:val="26"/>
      <w:lang w:eastAsia="en-GB"/>
      <w14:ligatures w14:val="none"/>
    </w:rPr>
  </w:style>
  <w:style w:type="paragraph" w:customStyle="1" w:styleId="p3">
    <w:name w:val="p3"/>
    <w:basedOn w:val="Normal"/>
    <w:rsid w:val="00946FBC"/>
    <w:rPr>
      <w:rFonts w:ascii=".AppleSystemUIFont" w:eastAsiaTheme="minorEastAsia" w:hAnsi=".AppleSystemUIFont" w:cs="Times New Roman"/>
      <w:color w:val="111111"/>
      <w:kern w:val="0"/>
      <w:sz w:val="26"/>
      <w:szCs w:val="26"/>
      <w:lang w:eastAsia="en-GB"/>
      <w14:ligatures w14:val="none"/>
    </w:rPr>
  </w:style>
  <w:style w:type="paragraph" w:customStyle="1" w:styleId="p4">
    <w:name w:val="p4"/>
    <w:basedOn w:val="Normal"/>
    <w:rsid w:val="00946FBC"/>
    <w:rPr>
      <w:rFonts w:ascii="Times New Roman" w:eastAsiaTheme="minorEastAsia" w:hAnsi="Times New Roman" w:cs="Times New Roman"/>
      <w:kern w:val="0"/>
      <w:lang w:eastAsia="en-GB"/>
      <w14:ligatures w14:val="none"/>
    </w:rPr>
  </w:style>
  <w:style w:type="paragraph" w:customStyle="1" w:styleId="p5">
    <w:name w:val="p5"/>
    <w:basedOn w:val="Normal"/>
    <w:rsid w:val="00946FBC"/>
    <w:rPr>
      <w:rFonts w:ascii=".AppleSystemUIFont" w:eastAsiaTheme="minorEastAsia" w:hAnsi=".AppleSystemUIFont" w:cs="Times New Roman"/>
      <w:color w:val="111111"/>
      <w:kern w:val="0"/>
      <w:sz w:val="42"/>
      <w:szCs w:val="42"/>
      <w:lang w:eastAsia="en-GB"/>
      <w14:ligatures w14:val="none"/>
    </w:rPr>
  </w:style>
  <w:style w:type="paragraph" w:customStyle="1" w:styleId="p6">
    <w:name w:val="p6"/>
    <w:basedOn w:val="Normal"/>
    <w:rsid w:val="00946FBC"/>
    <w:rPr>
      <w:rFonts w:ascii=".AppleSystemUIFont" w:eastAsiaTheme="minorEastAsia" w:hAnsi=".AppleSystemUIFont" w:cs="Times New Roman"/>
      <w:color w:val="111111"/>
      <w:kern w:val="0"/>
      <w:sz w:val="33"/>
      <w:szCs w:val="33"/>
      <w:lang w:eastAsia="en-GB"/>
      <w14:ligatures w14:val="none"/>
    </w:rPr>
  </w:style>
  <w:style w:type="paragraph" w:customStyle="1" w:styleId="p7">
    <w:name w:val="p7"/>
    <w:basedOn w:val="Normal"/>
    <w:rsid w:val="00946FBC"/>
    <w:rPr>
      <w:rFonts w:ascii=".AppleSystemUIFont" w:eastAsiaTheme="minorEastAsia" w:hAnsi=".AppleSystemUIFont" w:cs="Times New Roman"/>
      <w:color w:val="111111"/>
      <w:kern w:val="0"/>
      <w:sz w:val="18"/>
      <w:szCs w:val="18"/>
      <w:lang w:eastAsia="en-GB"/>
      <w14:ligatures w14:val="none"/>
    </w:rPr>
  </w:style>
  <w:style w:type="paragraph" w:customStyle="1" w:styleId="p8">
    <w:name w:val="p8"/>
    <w:basedOn w:val="Normal"/>
    <w:rsid w:val="00946FBC"/>
    <w:pPr>
      <w:spacing w:before="180"/>
      <w:ind w:left="195" w:hanging="195"/>
    </w:pPr>
    <w:rPr>
      <w:rFonts w:ascii=".AppleSystemUIFont" w:eastAsiaTheme="minorEastAsia" w:hAnsi=".AppleSystemUIFont" w:cs="Times New Roman"/>
      <w:color w:val="111111"/>
      <w:kern w:val="0"/>
      <w:sz w:val="26"/>
      <w:szCs w:val="26"/>
      <w:lang w:eastAsia="en-GB"/>
      <w14:ligatures w14:val="none"/>
    </w:rPr>
  </w:style>
  <w:style w:type="character" w:customStyle="1" w:styleId="s2">
    <w:name w:val="s2"/>
    <w:basedOn w:val="DefaultParagraphFont"/>
    <w:rsid w:val="00946FBC"/>
    <w:rPr>
      <w:rFonts w:ascii="UICTFontTextStyleBody" w:hAnsi="UICTFontTextStyleBody" w:hint="default"/>
      <w:b/>
      <w:bCs/>
      <w:i w:val="0"/>
      <w:iCs w:val="0"/>
      <w:sz w:val="26"/>
      <w:szCs w:val="26"/>
    </w:rPr>
  </w:style>
  <w:style w:type="character" w:customStyle="1" w:styleId="s4">
    <w:name w:val="s4"/>
    <w:basedOn w:val="DefaultParagraphFont"/>
    <w:rsid w:val="00946FBC"/>
    <w:rPr>
      <w:b/>
      <w:bCs/>
      <w:i w:val="0"/>
      <w:iCs w:val="0"/>
      <w:sz w:val="42"/>
      <w:szCs w:val="42"/>
    </w:rPr>
  </w:style>
  <w:style w:type="character" w:customStyle="1" w:styleId="s5">
    <w:name w:val="s5"/>
    <w:basedOn w:val="DefaultParagraphFont"/>
    <w:rsid w:val="00946FBC"/>
    <w:rPr>
      <w:b/>
      <w:bCs/>
      <w:i w:val="0"/>
      <w:iCs w:val="0"/>
      <w:sz w:val="33"/>
      <w:szCs w:val="33"/>
    </w:rPr>
  </w:style>
  <w:style w:type="character" w:customStyle="1" w:styleId="s6">
    <w:name w:val="s6"/>
    <w:basedOn w:val="DefaultParagraphFont"/>
    <w:rsid w:val="00946FBC"/>
    <w:rPr>
      <w:b/>
      <w:bCs/>
      <w:i w:val="0"/>
      <w:iCs w:val="0"/>
      <w:sz w:val="18"/>
      <w:szCs w:val="18"/>
    </w:rPr>
  </w:style>
  <w:style w:type="character" w:customStyle="1" w:styleId="s8">
    <w:name w:val="s8"/>
    <w:basedOn w:val="DefaultParagraphFont"/>
    <w:rsid w:val="00946FBC"/>
    <w:rPr>
      <w:rFonts w:ascii="UICTFontTextStyleCaption1" w:hAnsi="UICTFontTextStyleCaption1" w:hint="default"/>
      <w:b w:val="0"/>
      <w:bCs w:val="0"/>
      <w:i w:val="0"/>
      <w:iCs w:val="0"/>
      <w:sz w:val="18"/>
      <w:szCs w:val="18"/>
    </w:rPr>
  </w:style>
  <w:style w:type="character" w:customStyle="1" w:styleId="apple-tab-span">
    <w:name w:val="apple-tab-span"/>
    <w:basedOn w:val="DefaultParagraphFont"/>
    <w:rsid w:val="00946FBC"/>
  </w:style>
  <w:style w:type="character" w:styleId="PageNumber">
    <w:name w:val="page number"/>
    <w:basedOn w:val="DefaultParagraphFont"/>
    <w:uiPriority w:val="99"/>
    <w:semiHidden/>
    <w:unhideWhenUsed/>
    <w:rsid w:val="006C05CA"/>
  </w:style>
  <w:style w:type="table" w:styleId="GridTable4">
    <w:name w:val="Grid Table 4"/>
    <w:basedOn w:val="TableNormal"/>
    <w:uiPriority w:val="49"/>
    <w:rsid w:val="006C05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026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unhideWhenUsed/>
    <w:rsid w:val="6369CF9B"/>
    <w:pPr>
      <w:spacing w:after="100"/>
      <w:ind w:left="220"/>
    </w:pPr>
  </w:style>
  <w:style w:type="paragraph" w:styleId="TOC3">
    <w:name w:val="toc 3"/>
    <w:basedOn w:val="Normal"/>
    <w:next w:val="Normal"/>
    <w:uiPriority w:val="39"/>
    <w:unhideWhenUsed/>
    <w:rsid w:val="6369CF9B"/>
    <w:pPr>
      <w:spacing w:after="100"/>
      <w:ind w:left="440"/>
    </w:pPr>
  </w:style>
  <w:style w:type="paragraph" w:styleId="TOC4">
    <w:name w:val="toc 4"/>
    <w:basedOn w:val="Normal"/>
    <w:next w:val="Normal"/>
    <w:uiPriority w:val="39"/>
    <w:unhideWhenUsed/>
    <w:rsid w:val="6369CF9B"/>
    <w:pPr>
      <w:spacing w:after="100"/>
      <w:ind w:left="660"/>
    </w:pPr>
  </w:style>
  <w:style w:type="paragraph" w:styleId="TOC5">
    <w:name w:val="toc 5"/>
    <w:basedOn w:val="Normal"/>
    <w:next w:val="Normal"/>
    <w:uiPriority w:val="39"/>
    <w:unhideWhenUsed/>
    <w:rsid w:val="6369CF9B"/>
    <w:pPr>
      <w:spacing w:after="100"/>
      <w:ind w:left="880"/>
    </w:pPr>
  </w:style>
  <w:style w:type="paragraph" w:customStyle="1" w:styleId="Default">
    <w:name w:val="Default"/>
    <w:rsid w:val="00020BB9"/>
    <w:pPr>
      <w:autoSpaceDE w:val="0"/>
      <w:autoSpaceDN w:val="0"/>
      <w:adjustRightInd w:val="0"/>
    </w:pPr>
    <w:rPr>
      <w:rFonts w:ascii="Arial Black" w:hAnsi="Arial Black" w:cs="Arial Black"/>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68089">
      <w:bodyDiv w:val="1"/>
      <w:marLeft w:val="0"/>
      <w:marRight w:val="0"/>
      <w:marTop w:val="0"/>
      <w:marBottom w:val="0"/>
      <w:divBdr>
        <w:top w:val="none" w:sz="0" w:space="0" w:color="auto"/>
        <w:left w:val="none" w:sz="0" w:space="0" w:color="auto"/>
        <w:bottom w:val="none" w:sz="0" w:space="0" w:color="auto"/>
        <w:right w:val="none" w:sz="0" w:space="0" w:color="auto"/>
      </w:divBdr>
    </w:div>
    <w:div w:id="166865508">
      <w:bodyDiv w:val="1"/>
      <w:marLeft w:val="0"/>
      <w:marRight w:val="0"/>
      <w:marTop w:val="0"/>
      <w:marBottom w:val="0"/>
      <w:divBdr>
        <w:top w:val="none" w:sz="0" w:space="0" w:color="auto"/>
        <w:left w:val="none" w:sz="0" w:space="0" w:color="auto"/>
        <w:bottom w:val="none" w:sz="0" w:space="0" w:color="auto"/>
        <w:right w:val="none" w:sz="0" w:space="0" w:color="auto"/>
      </w:divBdr>
    </w:div>
    <w:div w:id="373773102">
      <w:bodyDiv w:val="1"/>
      <w:marLeft w:val="0"/>
      <w:marRight w:val="0"/>
      <w:marTop w:val="0"/>
      <w:marBottom w:val="0"/>
      <w:divBdr>
        <w:top w:val="none" w:sz="0" w:space="0" w:color="auto"/>
        <w:left w:val="none" w:sz="0" w:space="0" w:color="auto"/>
        <w:bottom w:val="none" w:sz="0" w:space="0" w:color="auto"/>
        <w:right w:val="none" w:sz="0" w:space="0" w:color="auto"/>
      </w:divBdr>
      <w:divsChild>
        <w:div w:id="1113137824">
          <w:marLeft w:val="0"/>
          <w:marRight w:val="0"/>
          <w:marTop w:val="0"/>
          <w:marBottom w:val="0"/>
          <w:divBdr>
            <w:top w:val="none" w:sz="0" w:space="0" w:color="auto"/>
            <w:left w:val="none" w:sz="0" w:space="0" w:color="auto"/>
            <w:bottom w:val="none" w:sz="0" w:space="0" w:color="auto"/>
            <w:right w:val="none" w:sz="0" w:space="0" w:color="auto"/>
          </w:divBdr>
        </w:div>
        <w:div w:id="1558391048">
          <w:marLeft w:val="0"/>
          <w:marRight w:val="0"/>
          <w:marTop w:val="0"/>
          <w:marBottom w:val="0"/>
          <w:divBdr>
            <w:top w:val="none" w:sz="0" w:space="0" w:color="auto"/>
            <w:left w:val="none" w:sz="0" w:space="0" w:color="auto"/>
            <w:bottom w:val="none" w:sz="0" w:space="0" w:color="auto"/>
            <w:right w:val="none" w:sz="0" w:space="0" w:color="auto"/>
          </w:divBdr>
        </w:div>
        <w:div w:id="597560566">
          <w:marLeft w:val="0"/>
          <w:marRight w:val="0"/>
          <w:marTop w:val="0"/>
          <w:marBottom w:val="0"/>
          <w:divBdr>
            <w:top w:val="none" w:sz="0" w:space="0" w:color="auto"/>
            <w:left w:val="none" w:sz="0" w:space="0" w:color="auto"/>
            <w:bottom w:val="none" w:sz="0" w:space="0" w:color="auto"/>
            <w:right w:val="none" w:sz="0" w:space="0" w:color="auto"/>
          </w:divBdr>
        </w:div>
      </w:divsChild>
    </w:div>
    <w:div w:id="449786202">
      <w:bodyDiv w:val="1"/>
      <w:marLeft w:val="0"/>
      <w:marRight w:val="0"/>
      <w:marTop w:val="0"/>
      <w:marBottom w:val="0"/>
      <w:divBdr>
        <w:top w:val="none" w:sz="0" w:space="0" w:color="auto"/>
        <w:left w:val="none" w:sz="0" w:space="0" w:color="auto"/>
        <w:bottom w:val="none" w:sz="0" w:space="0" w:color="auto"/>
        <w:right w:val="none" w:sz="0" w:space="0" w:color="auto"/>
      </w:divBdr>
    </w:div>
    <w:div w:id="540749546">
      <w:bodyDiv w:val="1"/>
      <w:marLeft w:val="0"/>
      <w:marRight w:val="0"/>
      <w:marTop w:val="0"/>
      <w:marBottom w:val="0"/>
      <w:divBdr>
        <w:top w:val="none" w:sz="0" w:space="0" w:color="auto"/>
        <w:left w:val="none" w:sz="0" w:space="0" w:color="auto"/>
        <w:bottom w:val="none" w:sz="0" w:space="0" w:color="auto"/>
        <w:right w:val="none" w:sz="0" w:space="0" w:color="auto"/>
      </w:divBdr>
    </w:div>
    <w:div w:id="559101410">
      <w:bodyDiv w:val="1"/>
      <w:marLeft w:val="0"/>
      <w:marRight w:val="0"/>
      <w:marTop w:val="0"/>
      <w:marBottom w:val="0"/>
      <w:divBdr>
        <w:top w:val="none" w:sz="0" w:space="0" w:color="auto"/>
        <w:left w:val="none" w:sz="0" w:space="0" w:color="auto"/>
        <w:bottom w:val="none" w:sz="0" w:space="0" w:color="auto"/>
        <w:right w:val="none" w:sz="0" w:space="0" w:color="auto"/>
      </w:divBdr>
    </w:div>
    <w:div w:id="599798962">
      <w:bodyDiv w:val="1"/>
      <w:marLeft w:val="0"/>
      <w:marRight w:val="0"/>
      <w:marTop w:val="0"/>
      <w:marBottom w:val="0"/>
      <w:divBdr>
        <w:top w:val="none" w:sz="0" w:space="0" w:color="auto"/>
        <w:left w:val="none" w:sz="0" w:space="0" w:color="auto"/>
        <w:bottom w:val="none" w:sz="0" w:space="0" w:color="auto"/>
        <w:right w:val="none" w:sz="0" w:space="0" w:color="auto"/>
      </w:divBdr>
    </w:div>
    <w:div w:id="690759466">
      <w:bodyDiv w:val="1"/>
      <w:marLeft w:val="0"/>
      <w:marRight w:val="0"/>
      <w:marTop w:val="0"/>
      <w:marBottom w:val="0"/>
      <w:divBdr>
        <w:top w:val="none" w:sz="0" w:space="0" w:color="auto"/>
        <w:left w:val="none" w:sz="0" w:space="0" w:color="auto"/>
        <w:bottom w:val="none" w:sz="0" w:space="0" w:color="auto"/>
        <w:right w:val="none" w:sz="0" w:space="0" w:color="auto"/>
      </w:divBdr>
      <w:divsChild>
        <w:div w:id="1787777174">
          <w:marLeft w:val="0"/>
          <w:marRight w:val="0"/>
          <w:marTop w:val="0"/>
          <w:marBottom w:val="0"/>
          <w:divBdr>
            <w:top w:val="none" w:sz="0" w:space="0" w:color="auto"/>
            <w:left w:val="none" w:sz="0" w:space="0" w:color="auto"/>
            <w:bottom w:val="none" w:sz="0" w:space="0" w:color="auto"/>
            <w:right w:val="none" w:sz="0" w:space="0" w:color="auto"/>
          </w:divBdr>
        </w:div>
        <w:div w:id="1263957535">
          <w:marLeft w:val="0"/>
          <w:marRight w:val="0"/>
          <w:marTop w:val="0"/>
          <w:marBottom w:val="0"/>
          <w:divBdr>
            <w:top w:val="none" w:sz="0" w:space="0" w:color="auto"/>
            <w:left w:val="none" w:sz="0" w:space="0" w:color="auto"/>
            <w:bottom w:val="none" w:sz="0" w:space="0" w:color="auto"/>
            <w:right w:val="none" w:sz="0" w:space="0" w:color="auto"/>
          </w:divBdr>
        </w:div>
        <w:div w:id="686520938">
          <w:marLeft w:val="0"/>
          <w:marRight w:val="0"/>
          <w:marTop w:val="0"/>
          <w:marBottom w:val="0"/>
          <w:divBdr>
            <w:top w:val="none" w:sz="0" w:space="0" w:color="auto"/>
            <w:left w:val="none" w:sz="0" w:space="0" w:color="auto"/>
            <w:bottom w:val="none" w:sz="0" w:space="0" w:color="auto"/>
            <w:right w:val="none" w:sz="0" w:space="0" w:color="auto"/>
          </w:divBdr>
        </w:div>
      </w:divsChild>
    </w:div>
    <w:div w:id="848910763">
      <w:bodyDiv w:val="1"/>
      <w:marLeft w:val="0"/>
      <w:marRight w:val="0"/>
      <w:marTop w:val="0"/>
      <w:marBottom w:val="0"/>
      <w:divBdr>
        <w:top w:val="none" w:sz="0" w:space="0" w:color="auto"/>
        <w:left w:val="none" w:sz="0" w:space="0" w:color="auto"/>
        <w:bottom w:val="none" w:sz="0" w:space="0" w:color="auto"/>
        <w:right w:val="none" w:sz="0" w:space="0" w:color="auto"/>
      </w:divBdr>
      <w:divsChild>
        <w:div w:id="979381074">
          <w:marLeft w:val="0"/>
          <w:marRight w:val="0"/>
          <w:marTop w:val="0"/>
          <w:marBottom w:val="0"/>
          <w:divBdr>
            <w:top w:val="none" w:sz="0" w:space="0" w:color="auto"/>
            <w:left w:val="none" w:sz="0" w:space="0" w:color="auto"/>
            <w:bottom w:val="none" w:sz="0" w:space="0" w:color="auto"/>
            <w:right w:val="none" w:sz="0" w:space="0" w:color="auto"/>
          </w:divBdr>
        </w:div>
        <w:div w:id="1275362821">
          <w:marLeft w:val="0"/>
          <w:marRight w:val="0"/>
          <w:marTop w:val="0"/>
          <w:marBottom w:val="0"/>
          <w:divBdr>
            <w:top w:val="none" w:sz="0" w:space="0" w:color="auto"/>
            <w:left w:val="none" w:sz="0" w:space="0" w:color="auto"/>
            <w:bottom w:val="none" w:sz="0" w:space="0" w:color="auto"/>
            <w:right w:val="none" w:sz="0" w:space="0" w:color="auto"/>
          </w:divBdr>
        </w:div>
      </w:divsChild>
    </w:div>
    <w:div w:id="923339942">
      <w:bodyDiv w:val="1"/>
      <w:marLeft w:val="0"/>
      <w:marRight w:val="0"/>
      <w:marTop w:val="0"/>
      <w:marBottom w:val="0"/>
      <w:divBdr>
        <w:top w:val="none" w:sz="0" w:space="0" w:color="auto"/>
        <w:left w:val="none" w:sz="0" w:space="0" w:color="auto"/>
        <w:bottom w:val="none" w:sz="0" w:space="0" w:color="auto"/>
        <w:right w:val="none" w:sz="0" w:space="0" w:color="auto"/>
      </w:divBdr>
      <w:divsChild>
        <w:div w:id="459344772">
          <w:marLeft w:val="0"/>
          <w:marRight w:val="0"/>
          <w:marTop w:val="0"/>
          <w:marBottom w:val="0"/>
          <w:divBdr>
            <w:top w:val="none" w:sz="0" w:space="0" w:color="auto"/>
            <w:left w:val="none" w:sz="0" w:space="0" w:color="auto"/>
            <w:bottom w:val="none" w:sz="0" w:space="0" w:color="auto"/>
            <w:right w:val="none" w:sz="0" w:space="0" w:color="auto"/>
          </w:divBdr>
        </w:div>
        <w:div w:id="34352003">
          <w:marLeft w:val="0"/>
          <w:marRight w:val="0"/>
          <w:marTop w:val="0"/>
          <w:marBottom w:val="0"/>
          <w:divBdr>
            <w:top w:val="none" w:sz="0" w:space="0" w:color="auto"/>
            <w:left w:val="none" w:sz="0" w:space="0" w:color="auto"/>
            <w:bottom w:val="none" w:sz="0" w:space="0" w:color="auto"/>
            <w:right w:val="none" w:sz="0" w:space="0" w:color="auto"/>
          </w:divBdr>
        </w:div>
        <w:div w:id="1513302851">
          <w:marLeft w:val="0"/>
          <w:marRight w:val="0"/>
          <w:marTop w:val="0"/>
          <w:marBottom w:val="0"/>
          <w:divBdr>
            <w:top w:val="none" w:sz="0" w:space="0" w:color="auto"/>
            <w:left w:val="none" w:sz="0" w:space="0" w:color="auto"/>
            <w:bottom w:val="none" w:sz="0" w:space="0" w:color="auto"/>
            <w:right w:val="none" w:sz="0" w:space="0" w:color="auto"/>
          </w:divBdr>
        </w:div>
        <w:div w:id="1066799789">
          <w:marLeft w:val="0"/>
          <w:marRight w:val="0"/>
          <w:marTop w:val="0"/>
          <w:marBottom w:val="0"/>
          <w:divBdr>
            <w:top w:val="none" w:sz="0" w:space="0" w:color="auto"/>
            <w:left w:val="none" w:sz="0" w:space="0" w:color="auto"/>
            <w:bottom w:val="none" w:sz="0" w:space="0" w:color="auto"/>
            <w:right w:val="none" w:sz="0" w:space="0" w:color="auto"/>
          </w:divBdr>
        </w:div>
        <w:div w:id="1908032046">
          <w:marLeft w:val="0"/>
          <w:marRight w:val="0"/>
          <w:marTop w:val="0"/>
          <w:marBottom w:val="0"/>
          <w:divBdr>
            <w:top w:val="none" w:sz="0" w:space="0" w:color="auto"/>
            <w:left w:val="none" w:sz="0" w:space="0" w:color="auto"/>
            <w:bottom w:val="none" w:sz="0" w:space="0" w:color="auto"/>
            <w:right w:val="none" w:sz="0" w:space="0" w:color="auto"/>
          </w:divBdr>
        </w:div>
        <w:div w:id="1898398350">
          <w:marLeft w:val="0"/>
          <w:marRight w:val="0"/>
          <w:marTop w:val="0"/>
          <w:marBottom w:val="0"/>
          <w:divBdr>
            <w:top w:val="none" w:sz="0" w:space="0" w:color="auto"/>
            <w:left w:val="none" w:sz="0" w:space="0" w:color="auto"/>
            <w:bottom w:val="none" w:sz="0" w:space="0" w:color="auto"/>
            <w:right w:val="none" w:sz="0" w:space="0" w:color="auto"/>
          </w:divBdr>
        </w:div>
        <w:div w:id="1536120983">
          <w:marLeft w:val="0"/>
          <w:marRight w:val="0"/>
          <w:marTop w:val="0"/>
          <w:marBottom w:val="0"/>
          <w:divBdr>
            <w:top w:val="none" w:sz="0" w:space="0" w:color="auto"/>
            <w:left w:val="none" w:sz="0" w:space="0" w:color="auto"/>
            <w:bottom w:val="none" w:sz="0" w:space="0" w:color="auto"/>
            <w:right w:val="none" w:sz="0" w:space="0" w:color="auto"/>
          </w:divBdr>
        </w:div>
      </w:divsChild>
    </w:div>
    <w:div w:id="1058095414">
      <w:bodyDiv w:val="1"/>
      <w:marLeft w:val="0"/>
      <w:marRight w:val="0"/>
      <w:marTop w:val="0"/>
      <w:marBottom w:val="0"/>
      <w:divBdr>
        <w:top w:val="none" w:sz="0" w:space="0" w:color="auto"/>
        <w:left w:val="none" w:sz="0" w:space="0" w:color="auto"/>
        <w:bottom w:val="none" w:sz="0" w:space="0" w:color="auto"/>
        <w:right w:val="none" w:sz="0" w:space="0" w:color="auto"/>
      </w:divBdr>
      <w:divsChild>
        <w:div w:id="1734548272">
          <w:marLeft w:val="0"/>
          <w:marRight w:val="0"/>
          <w:marTop w:val="0"/>
          <w:marBottom w:val="0"/>
          <w:divBdr>
            <w:top w:val="none" w:sz="0" w:space="0" w:color="auto"/>
            <w:left w:val="none" w:sz="0" w:space="0" w:color="auto"/>
            <w:bottom w:val="none" w:sz="0" w:space="0" w:color="auto"/>
            <w:right w:val="none" w:sz="0" w:space="0" w:color="auto"/>
          </w:divBdr>
        </w:div>
        <w:div w:id="286859370">
          <w:marLeft w:val="0"/>
          <w:marRight w:val="0"/>
          <w:marTop w:val="0"/>
          <w:marBottom w:val="0"/>
          <w:divBdr>
            <w:top w:val="none" w:sz="0" w:space="0" w:color="auto"/>
            <w:left w:val="none" w:sz="0" w:space="0" w:color="auto"/>
            <w:bottom w:val="none" w:sz="0" w:space="0" w:color="auto"/>
            <w:right w:val="none" w:sz="0" w:space="0" w:color="auto"/>
          </w:divBdr>
        </w:div>
        <w:div w:id="1029456072">
          <w:marLeft w:val="0"/>
          <w:marRight w:val="0"/>
          <w:marTop w:val="0"/>
          <w:marBottom w:val="0"/>
          <w:divBdr>
            <w:top w:val="none" w:sz="0" w:space="0" w:color="auto"/>
            <w:left w:val="none" w:sz="0" w:space="0" w:color="auto"/>
            <w:bottom w:val="none" w:sz="0" w:space="0" w:color="auto"/>
            <w:right w:val="none" w:sz="0" w:space="0" w:color="auto"/>
          </w:divBdr>
        </w:div>
        <w:div w:id="1519268016">
          <w:marLeft w:val="0"/>
          <w:marRight w:val="0"/>
          <w:marTop w:val="0"/>
          <w:marBottom w:val="0"/>
          <w:divBdr>
            <w:top w:val="none" w:sz="0" w:space="0" w:color="auto"/>
            <w:left w:val="none" w:sz="0" w:space="0" w:color="auto"/>
            <w:bottom w:val="none" w:sz="0" w:space="0" w:color="auto"/>
            <w:right w:val="none" w:sz="0" w:space="0" w:color="auto"/>
          </w:divBdr>
        </w:div>
        <w:div w:id="1559631580">
          <w:marLeft w:val="0"/>
          <w:marRight w:val="0"/>
          <w:marTop w:val="0"/>
          <w:marBottom w:val="0"/>
          <w:divBdr>
            <w:top w:val="none" w:sz="0" w:space="0" w:color="auto"/>
            <w:left w:val="none" w:sz="0" w:space="0" w:color="auto"/>
            <w:bottom w:val="none" w:sz="0" w:space="0" w:color="auto"/>
            <w:right w:val="none" w:sz="0" w:space="0" w:color="auto"/>
          </w:divBdr>
        </w:div>
      </w:divsChild>
    </w:div>
    <w:div w:id="1238782938">
      <w:bodyDiv w:val="1"/>
      <w:marLeft w:val="0"/>
      <w:marRight w:val="0"/>
      <w:marTop w:val="0"/>
      <w:marBottom w:val="0"/>
      <w:divBdr>
        <w:top w:val="none" w:sz="0" w:space="0" w:color="auto"/>
        <w:left w:val="none" w:sz="0" w:space="0" w:color="auto"/>
        <w:bottom w:val="none" w:sz="0" w:space="0" w:color="auto"/>
        <w:right w:val="none" w:sz="0" w:space="0" w:color="auto"/>
      </w:divBdr>
    </w:div>
    <w:div w:id="1261403502">
      <w:bodyDiv w:val="1"/>
      <w:marLeft w:val="0"/>
      <w:marRight w:val="0"/>
      <w:marTop w:val="0"/>
      <w:marBottom w:val="0"/>
      <w:divBdr>
        <w:top w:val="none" w:sz="0" w:space="0" w:color="auto"/>
        <w:left w:val="none" w:sz="0" w:space="0" w:color="auto"/>
        <w:bottom w:val="none" w:sz="0" w:space="0" w:color="auto"/>
        <w:right w:val="none" w:sz="0" w:space="0" w:color="auto"/>
      </w:divBdr>
      <w:divsChild>
        <w:div w:id="2000814902">
          <w:marLeft w:val="0"/>
          <w:marRight w:val="0"/>
          <w:marTop w:val="0"/>
          <w:marBottom w:val="0"/>
          <w:divBdr>
            <w:top w:val="none" w:sz="0" w:space="0" w:color="auto"/>
            <w:left w:val="none" w:sz="0" w:space="0" w:color="auto"/>
            <w:bottom w:val="none" w:sz="0" w:space="0" w:color="auto"/>
            <w:right w:val="none" w:sz="0" w:space="0" w:color="auto"/>
          </w:divBdr>
        </w:div>
        <w:div w:id="808476207">
          <w:marLeft w:val="0"/>
          <w:marRight w:val="0"/>
          <w:marTop w:val="0"/>
          <w:marBottom w:val="0"/>
          <w:divBdr>
            <w:top w:val="none" w:sz="0" w:space="0" w:color="auto"/>
            <w:left w:val="none" w:sz="0" w:space="0" w:color="auto"/>
            <w:bottom w:val="none" w:sz="0" w:space="0" w:color="auto"/>
            <w:right w:val="none" w:sz="0" w:space="0" w:color="auto"/>
          </w:divBdr>
        </w:div>
        <w:div w:id="1436096927">
          <w:marLeft w:val="0"/>
          <w:marRight w:val="0"/>
          <w:marTop w:val="0"/>
          <w:marBottom w:val="0"/>
          <w:divBdr>
            <w:top w:val="none" w:sz="0" w:space="0" w:color="auto"/>
            <w:left w:val="none" w:sz="0" w:space="0" w:color="auto"/>
            <w:bottom w:val="none" w:sz="0" w:space="0" w:color="auto"/>
            <w:right w:val="none" w:sz="0" w:space="0" w:color="auto"/>
          </w:divBdr>
        </w:div>
        <w:div w:id="89787609">
          <w:marLeft w:val="0"/>
          <w:marRight w:val="0"/>
          <w:marTop w:val="0"/>
          <w:marBottom w:val="0"/>
          <w:divBdr>
            <w:top w:val="none" w:sz="0" w:space="0" w:color="auto"/>
            <w:left w:val="none" w:sz="0" w:space="0" w:color="auto"/>
            <w:bottom w:val="none" w:sz="0" w:space="0" w:color="auto"/>
            <w:right w:val="none" w:sz="0" w:space="0" w:color="auto"/>
          </w:divBdr>
        </w:div>
        <w:div w:id="1963491267">
          <w:marLeft w:val="0"/>
          <w:marRight w:val="0"/>
          <w:marTop w:val="0"/>
          <w:marBottom w:val="0"/>
          <w:divBdr>
            <w:top w:val="none" w:sz="0" w:space="0" w:color="auto"/>
            <w:left w:val="none" w:sz="0" w:space="0" w:color="auto"/>
            <w:bottom w:val="none" w:sz="0" w:space="0" w:color="auto"/>
            <w:right w:val="none" w:sz="0" w:space="0" w:color="auto"/>
          </w:divBdr>
        </w:div>
        <w:div w:id="128911061">
          <w:marLeft w:val="0"/>
          <w:marRight w:val="0"/>
          <w:marTop w:val="0"/>
          <w:marBottom w:val="0"/>
          <w:divBdr>
            <w:top w:val="none" w:sz="0" w:space="0" w:color="auto"/>
            <w:left w:val="none" w:sz="0" w:space="0" w:color="auto"/>
            <w:bottom w:val="none" w:sz="0" w:space="0" w:color="auto"/>
            <w:right w:val="none" w:sz="0" w:space="0" w:color="auto"/>
          </w:divBdr>
        </w:div>
        <w:div w:id="908803248">
          <w:marLeft w:val="0"/>
          <w:marRight w:val="0"/>
          <w:marTop w:val="0"/>
          <w:marBottom w:val="0"/>
          <w:divBdr>
            <w:top w:val="none" w:sz="0" w:space="0" w:color="auto"/>
            <w:left w:val="none" w:sz="0" w:space="0" w:color="auto"/>
            <w:bottom w:val="none" w:sz="0" w:space="0" w:color="auto"/>
            <w:right w:val="none" w:sz="0" w:space="0" w:color="auto"/>
          </w:divBdr>
        </w:div>
      </w:divsChild>
    </w:div>
    <w:div w:id="1265461672">
      <w:bodyDiv w:val="1"/>
      <w:marLeft w:val="0"/>
      <w:marRight w:val="0"/>
      <w:marTop w:val="0"/>
      <w:marBottom w:val="0"/>
      <w:divBdr>
        <w:top w:val="none" w:sz="0" w:space="0" w:color="auto"/>
        <w:left w:val="none" w:sz="0" w:space="0" w:color="auto"/>
        <w:bottom w:val="none" w:sz="0" w:space="0" w:color="auto"/>
        <w:right w:val="none" w:sz="0" w:space="0" w:color="auto"/>
      </w:divBdr>
    </w:div>
    <w:div w:id="1311324099">
      <w:bodyDiv w:val="1"/>
      <w:marLeft w:val="0"/>
      <w:marRight w:val="0"/>
      <w:marTop w:val="0"/>
      <w:marBottom w:val="0"/>
      <w:divBdr>
        <w:top w:val="none" w:sz="0" w:space="0" w:color="auto"/>
        <w:left w:val="none" w:sz="0" w:space="0" w:color="auto"/>
        <w:bottom w:val="none" w:sz="0" w:space="0" w:color="auto"/>
        <w:right w:val="none" w:sz="0" w:space="0" w:color="auto"/>
      </w:divBdr>
    </w:div>
    <w:div w:id="1332761307">
      <w:bodyDiv w:val="1"/>
      <w:marLeft w:val="0"/>
      <w:marRight w:val="0"/>
      <w:marTop w:val="0"/>
      <w:marBottom w:val="0"/>
      <w:divBdr>
        <w:top w:val="none" w:sz="0" w:space="0" w:color="auto"/>
        <w:left w:val="none" w:sz="0" w:space="0" w:color="auto"/>
        <w:bottom w:val="none" w:sz="0" w:space="0" w:color="auto"/>
        <w:right w:val="none" w:sz="0" w:space="0" w:color="auto"/>
      </w:divBdr>
      <w:divsChild>
        <w:div w:id="107092295">
          <w:marLeft w:val="0"/>
          <w:marRight w:val="0"/>
          <w:marTop w:val="0"/>
          <w:marBottom w:val="0"/>
          <w:divBdr>
            <w:top w:val="none" w:sz="0" w:space="0" w:color="auto"/>
            <w:left w:val="none" w:sz="0" w:space="0" w:color="auto"/>
            <w:bottom w:val="none" w:sz="0" w:space="0" w:color="auto"/>
            <w:right w:val="none" w:sz="0" w:space="0" w:color="auto"/>
          </w:divBdr>
          <w:divsChild>
            <w:div w:id="1487476067">
              <w:marLeft w:val="0"/>
              <w:marRight w:val="0"/>
              <w:marTop w:val="0"/>
              <w:marBottom w:val="0"/>
              <w:divBdr>
                <w:top w:val="none" w:sz="0" w:space="0" w:color="auto"/>
                <w:left w:val="none" w:sz="0" w:space="0" w:color="auto"/>
                <w:bottom w:val="none" w:sz="0" w:space="0" w:color="auto"/>
                <w:right w:val="none" w:sz="0" w:space="0" w:color="auto"/>
              </w:divBdr>
            </w:div>
          </w:divsChild>
        </w:div>
        <w:div w:id="1267693286">
          <w:marLeft w:val="0"/>
          <w:marRight w:val="0"/>
          <w:marTop w:val="0"/>
          <w:marBottom w:val="0"/>
          <w:divBdr>
            <w:top w:val="none" w:sz="0" w:space="0" w:color="auto"/>
            <w:left w:val="none" w:sz="0" w:space="0" w:color="auto"/>
            <w:bottom w:val="none" w:sz="0" w:space="0" w:color="auto"/>
            <w:right w:val="none" w:sz="0" w:space="0" w:color="auto"/>
          </w:divBdr>
        </w:div>
        <w:div w:id="201136705">
          <w:marLeft w:val="0"/>
          <w:marRight w:val="0"/>
          <w:marTop w:val="0"/>
          <w:marBottom w:val="0"/>
          <w:divBdr>
            <w:top w:val="none" w:sz="0" w:space="0" w:color="auto"/>
            <w:left w:val="none" w:sz="0" w:space="0" w:color="auto"/>
            <w:bottom w:val="none" w:sz="0" w:space="0" w:color="auto"/>
            <w:right w:val="none" w:sz="0" w:space="0" w:color="auto"/>
          </w:divBdr>
        </w:div>
        <w:div w:id="1307201891">
          <w:marLeft w:val="0"/>
          <w:marRight w:val="0"/>
          <w:marTop w:val="0"/>
          <w:marBottom w:val="0"/>
          <w:divBdr>
            <w:top w:val="none" w:sz="0" w:space="0" w:color="auto"/>
            <w:left w:val="none" w:sz="0" w:space="0" w:color="auto"/>
            <w:bottom w:val="none" w:sz="0" w:space="0" w:color="auto"/>
            <w:right w:val="none" w:sz="0" w:space="0" w:color="auto"/>
          </w:divBdr>
        </w:div>
        <w:div w:id="1699696740">
          <w:marLeft w:val="0"/>
          <w:marRight w:val="0"/>
          <w:marTop w:val="0"/>
          <w:marBottom w:val="0"/>
          <w:divBdr>
            <w:top w:val="none" w:sz="0" w:space="0" w:color="auto"/>
            <w:left w:val="none" w:sz="0" w:space="0" w:color="auto"/>
            <w:bottom w:val="none" w:sz="0" w:space="0" w:color="auto"/>
            <w:right w:val="none" w:sz="0" w:space="0" w:color="auto"/>
          </w:divBdr>
        </w:div>
        <w:div w:id="822312363">
          <w:marLeft w:val="0"/>
          <w:marRight w:val="0"/>
          <w:marTop w:val="0"/>
          <w:marBottom w:val="0"/>
          <w:divBdr>
            <w:top w:val="none" w:sz="0" w:space="0" w:color="auto"/>
            <w:left w:val="none" w:sz="0" w:space="0" w:color="auto"/>
            <w:bottom w:val="none" w:sz="0" w:space="0" w:color="auto"/>
            <w:right w:val="none" w:sz="0" w:space="0" w:color="auto"/>
          </w:divBdr>
        </w:div>
        <w:div w:id="811950137">
          <w:marLeft w:val="0"/>
          <w:marRight w:val="0"/>
          <w:marTop w:val="0"/>
          <w:marBottom w:val="0"/>
          <w:divBdr>
            <w:top w:val="none" w:sz="0" w:space="0" w:color="auto"/>
            <w:left w:val="none" w:sz="0" w:space="0" w:color="auto"/>
            <w:bottom w:val="none" w:sz="0" w:space="0" w:color="auto"/>
            <w:right w:val="none" w:sz="0" w:space="0" w:color="auto"/>
          </w:divBdr>
        </w:div>
        <w:div w:id="350573196">
          <w:marLeft w:val="0"/>
          <w:marRight w:val="0"/>
          <w:marTop w:val="0"/>
          <w:marBottom w:val="0"/>
          <w:divBdr>
            <w:top w:val="none" w:sz="0" w:space="0" w:color="auto"/>
            <w:left w:val="none" w:sz="0" w:space="0" w:color="auto"/>
            <w:bottom w:val="none" w:sz="0" w:space="0" w:color="auto"/>
            <w:right w:val="none" w:sz="0" w:space="0" w:color="auto"/>
          </w:divBdr>
        </w:div>
        <w:div w:id="173230377">
          <w:marLeft w:val="0"/>
          <w:marRight w:val="0"/>
          <w:marTop w:val="0"/>
          <w:marBottom w:val="0"/>
          <w:divBdr>
            <w:top w:val="none" w:sz="0" w:space="0" w:color="auto"/>
            <w:left w:val="none" w:sz="0" w:space="0" w:color="auto"/>
            <w:bottom w:val="none" w:sz="0" w:space="0" w:color="auto"/>
            <w:right w:val="none" w:sz="0" w:space="0" w:color="auto"/>
          </w:divBdr>
        </w:div>
      </w:divsChild>
    </w:div>
    <w:div w:id="1349982863">
      <w:bodyDiv w:val="1"/>
      <w:marLeft w:val="0"/>
      <w:marRight w:val="0"/>
      <w:marTop w:val="0"/>
      <w:marBottom w:val="0"/>
      <w:divBdr>
        <w:top w:val="none" w:sz="0" w:space="0" w:color="auto"/>
        <w:left w:val="none" w:sz="0" w:space="0" w:color="auto"/>
        <w:bottom w:val="none" w:sz="0" w:space="0" w:color="auto"/>
        <w:right w:val="none" w:sz="0" w:space="0" w:color="auto"/>
      </w:divBdr>
    </w:div>
    <w:div w:id="1565796356">
      <w:bodyDiv w:val="1"/>
      <w:marLeft w:val="0"/>
      <w:marRight w:val="0"/>
      <w:marTop w:val="0"/>
      <w:marBottom w:val="0"/>
      <w:divBdr>
        <w:top w:val="none" w:sz="0" w:space="0" w:color="auto"/>
        <w:left w:val="none" w:sz="0" w:space="0" w:color="auto"/>
        <w:bottom w:val="none" w:sz="0" w:space="0" w:color="auto"/>
        <w:right w:val="none" w:sz="0" w:space="0" w:color="auto"/>
      </w:divBdr>
      <w:divsChild>
        <w:div w:id="1556892520">
          <w:marLeft w:val="0"/>
          <w:marRight w:val="0"/>
          <w:marTop w:val="0"/>
          <w:marBottom w:val="0"/>
          <w:divBdr>
            <w:top w:val="none" w:sz="0" w:space="0" w:color="auto"/>
            <w:left w:val="none" w:sz="0" w:space="0" w:color="auto"/>
            <w:bottom w:val="none" w:sz="0" w:space="0" w:color="auto"/>
            <w:right w:val="none" w:sz="0" w:space="0" w:color="auto"/>
          </w:divBdr>
        </w:div>
      </w:divsChild>
    </w:div>
    <w:div w:id="1779711692">
      <w:bodyDiv w:val="1"/>
      <w:marLeft w:val="0"/>
      <w:marRight w:val="0"/>
      <w:marTop w:val="0"/>
      <w:marBottom w:val="0"/>
      <w:divBdr>
        <w:top w:val="none" w:sz="0" w:space="0" w:color="auto"/>
        <w:left w:val="none" w:sz="0" w:space="0" w:color="auto"/>
        <w:bottom w:val="none" w:sz="0" w:space="0" w:color="auto"/>
        <w:right w:val="none" w:sz="0" w:space="0" w:color="auto"/>
      </w:divBdr>
      <w:divsChild>
        <w:div w:id="1808818458">
          <w:marLeft w:val="0"/>
          <w:marRight w:val="0"/>
          <w:marTop w:val="0"/>
          <w:marBottom w:val="0"/>
          <w:divBdr>
            <w:top w:val="none" w:sz="0" w:space="0" w:color="auto"/>
            <w:left w:val="none" w:sz="0" w:space="0" w:color="auto"/>
            <w:bottom w:val="none" w:sz="0" w:space="0" w:color="auto"/>
            <w:right w:val="none" w:sz="0" w:space="0" w:color="auto"/>
          </w:divBdr>
        </w:div>
        <w:div w:id="1131358468">
          <w:marLeft w:val="0"/>
          <w:marRight w:val="0"/>
          <w:marTop w:val="0"/>
          <w:marBottom w:val="0"/>
          <w:divBdr>
            <w:top w:val="none" w:sz="0" w:space="0" w:color="auto"/>
            <w:left w:val="none" w:sz="0" w:space="0" w:color="auto"/>
            <w:bottom w:val="none" w:sz="0" w:space="0" w:color="auto"/>
            <w:right w:val="none" w:sz="0" w:space="0" w:color="auto"/>
          </w:divBdr>
        </w:div>
        <w:div w:id="625352935">
          <w:marLeft w:val="0"/>
          <w:marRight w:val="0"/>
          <w:marTop w:val="0"/>
          <w:marBottom w:val="0"/>
          <w:divBdr>
            <w:top w:val="none" w:sz="0" w:space="0" w:color="auto"/>
            <w:left w:val="none" w:sz="0" w:space="0" w:color="auto"/>
            <w:bottom w:val="none" w:sz="0" w:space="0" w:color="auto"/>
            <w:right w:val="none" w:sz="0" w:space="0" w:color="auto"/>
          </w:divBdr>
        </w:div>
        <w:div w:id="1311907917">
          <w:marLeft w:val="0"/>
          <w:marRight w:val="0"/>
          <w:marTop w:val="0"/>
          <w:marBottom w:val="0"/>
          <w:divBdr>
            <w:top w:val="none" w:sz="0" w:space="0" w:color="auto"/>
            <w:left w:val="none" w:sz="0" w:space="0" w:color="auto"/>
            <w:bottom w:val="none" w:sz="0" w:space="0" w:color="auto"/>
            <w:right w:val="none" w:sz="0" w:space="0" w:color="auto"/>
          </w:divBdr>
        </w:div>
        <w:div w:id="86076273">
          <w:marLeft w:val="0"/>
          <w:marRight w:val="0"/>
          <w:marTop w:val="0"/>
          <w:marBottom w:val="0"/>
          <w:divBdr>
            <w:top w:val="none" w:sz="0" w:space="0" w:color="auto"/>
            <w:left w:val="none" w:sz="0" w:space="0" w:color="auto"/>
            <w:bottom w:val="none" w:sz="0" w:space="0" w:color="auto"/>
            <w:right w:val="none" w:sz="0" w:space="0" w:color="auto"/>
          </w:divBdr>
        </w:div>
        <w:div w:id="1740053055">
          <w:marLeft w:val="0"/>
          <w:marRight w:val="0"/>
          <w:marTop w:val="0"/>
          <w:marBottom w:val="0"/>
          <w:divBdr>
            <w:top w:val="none" w:sz="0" w:space="0" w:color="auto"/>
            <w:left w:val="none" w:sz="0" w:space="0" w:color="auto"/>
            <w:bottom w:val="none" w:sz="0" w:space="0" w:color="auto"/>
            <w:right w:val="none" w:sz="0" w:space="0" w:color="auto"/>
          </w:divBdr>
        </w:div>
        <w:div w:id="2054767681">
          <w:marLeft w:val="0"/>
          <w:marRight w:val="0"/>
          <w:marTop w:val="0"/>
          <w:marBottom w:val="0"/>
          <w:divBdr>
            <w:top w:val="none" w:sz="0" w:space="0" w:color="auto"/>
            <w:left w:val="none" w:sz="0" w:space="0" w:color="auto"/>
            <w:bottom w:val="none" w:sz="0" w:space="0" w:color="auto"/>
            <w:right w:val="none" w:sz="0" w:space="0" w:color="auto"/>
          </w:divBdr>
        </w:div>
        <w:div w:id="368844129">
          <w:marLeft w:val="0"/>
          <w:marRight w:val="0"/>
          <w:marTop w:val="0"/>
          <w:marBottom w:val="0"/>
          <w:divBdr>
            <w:top w:val="none" w:sz="0" w:space="0" w:color="auto"/>
            <w:left w:val="none" w:sz="0" w:space="0" w:color="auto"/>
            <w:bottom w:val="none" w:sz="0" w:space="0" w:color="auto"/>
            <w:right w:val="none" w:sz="0" w:space="0" w:color="auto"/>
          </w:divBdr>
        </w:div>
      </w:divsChild>
    </w:div>
    <w:div w:id="1784035514">
      <w:bodyDiv w:val="1"/>
      <w:marLeft w:val="0"/>
      <w:marRight w:val="0"/>
      <w:marTop w:val="0"/>
      <w:marBottom w:val="0"/>
      <w:divBdr>
        <w:top w:val="none" w:sz="0" w:space="0" w:color="auto"/>
        <w:left w:val="none" w:sz="0" w:space="0" w:color="auto"/>
        <w:bottom w:val="none" w:sz="0" w:space="0" w:color="auto"/>
        <w:right w:val="none" w:sz="0" w:space="0" w:color="auto"/>
      </w:divBdr>
      <w:divsChild>
        <w:div w:id="381902837">
          <w:marLeft w:val="0"/>
          <w:marRight w:val="0"/>
          <w:marTop w:val="0"/>
          <w:marBottom w:val="0"/>
          <w:divBdr>
            <w:top w:val="none" w:sz="0" w:space="0" w:color="auto"/>
            <w:left w:val="none" w:sz="0" w:space="0" w:color="auto"/>
            <w:bottom w:val="none" w:sz="0" w:space="0" w:color="auto"/>
            <w:right w:val="none" w:sz="0" w:space="0" w:color="auto"/>
          </w:divBdr>
        </w:div>
      </w:divsChild>
    </w:div>
    <w:div w:id="1825774789">
      <w:bodyDiv w:val="1"/>
      <w:marLeft w:val="0"/>
      <w:marRight w:val="0"/>
      <w:marTop w:val="0"/>
      <w:marBottom w:val="0"/>
      <w:divBdr>
        <w:top w:val="none" w:sz="0" w:space="0" w:color="auto"/>
        <w:left w:val="none" w:sz="0" w:space="0" w:color="auto"/>
        <w:bottom w:val="none" w:sz="0" w:space="0" w:color="auto"/>
        <w:right w:val="none" w:sz="0" w:space="0" w:color="auto"/>
      </w:divBdr>
      <w:divsChild>
        <w:div w:id="233049291">
          <w:marLeft w:val="0"/>
          <w:marRight w:val="0"/>
          <w:marTop w:val="0"/>
          <w:marBottom w:val="0"/>
          <w:divBdr>
            <w:top w:val="none" w:sz="0" w:space="0" w:color="auto"/>
            <w:left w:val="none" w:sz="0" w:space="0" w:color="auto"/>
            <w:bottom w:val="none" w:sz="0" w:space="0" w:color="auto"/>
            <w:right w:val="none" w:sz="0" w:space="0" w:color="auto"/>
          </w:divBdr>
          <w:divsChild>
            <w:div w:id="166940125">
              <w:marLeft w:val="0"/>
              <w:marRight w:val="0"/>
              <w:marTop w:val="0"/>
              <w:marBottom w:val="0"/>
              <w:divBdr>
                <w:top w:val="none" w:sz="0" w:space="0" w:color="auto"/>
                <w:left w:val="none" w:sz="0" w:space="0" w:color="auto"/>
                <w:bottom w:val="none" w:sz="0" w:space="0" w:color="auto"/>
                <w:right w:val="none" w:sz="0" w:space="0" w:color="auto"/>
              </w:divBdr>
            </w:div>
            <w:div w:id="748044383">
              <w:marLeft w:val="0"/>
              <w:marRight w:val="0"/>
              <w:marTop w:val="0"/>
              <w:marBottom w:val="0"/>
              <w:divBdr>
                <w:top w:val="none" w:sz="0" w:space="0" w:color="auto"/>
                <w:left w:val="none" w:sz="0" w:space="0" w:color="auto"/>
                <w:bottom w:val="none" w:sz="0" w:space="0" w:color="auto"/>
                <w:right w:val="none" w:sz="0" w:space="0" w:color="auto"/>
              </w:divBdr>
            </w:div>
            <w:div w:id="183642662">
              <w:marLeft w:val="0"/>
              <w:marRight w:val="0"/>
              <w:marTop w:val="0"/>
              <w:marBottom w:val="0"/>
              <w:divBdr>
                <w:top w:val="none" w:sz="0" w:space="0" w:color="auto"/>
                <w:left w:val="none" w:sz="0" w:space="0" w:color="auto"/>
                <w:bottom w:val="none" w:sz="0" w:space="0" w:color="auto"/>
                <w:right w:val="none" w:sz="0" w:space="0" w:color="auto"/>
              </w:divBdr>
            </w:div>
          </w:divsChild>
        </w:div>
        <w:div w:id="1211965017">
          <w:marLeft w:val="0"/>
          <w:marRight w:val="0"/>
          <w:marTop w:val="0"/>
          <w:marBottom w:val="0"/>
          <w:divBdr>
            <w:top w:val="none" w:sz="0" w:space="0" w:color="auto"/>
            <w:left w:val="none" w:sz="0" w:space="0" w:color="auto"/>
            <w:bottom w:val="none" w:sz="0" w:space="0" w:color="auto"/>
            <w:right w:val="none" w:sz="0" w:space="0" w:color="auto"/>
          </w:divBdr>
        </w:div>
        <w:div w:id="1417357409">
          <w:marLeft w:val="0"/>
          <w:marRight w:val="0"/>
          <w:marTop w:val="0"/>
          <w:marBottom w:val="0"/>
          <w:divBdr>
            <w:top w:val="none" w:sz="0" w:space="0" w:color="auto"/>
            <w:left w:val="none" w:sz="0" w:space="0" w:color="auto"/>
            <w:bottom w:val="none" w:sz="0" w:space="0" w:color="auto"/>
            <w:right w:val="none" w:sz="0" w:space="0" w:color="auto"/>
          </w:divBdr>
        </w:div>
        <w:div w:id="1302152644">
          <w:marLeft w:val="0"/>
          <w:marRight w:val="0"/>
          <w:marTop w:val="0"/>
          <w:marBottom w:val="0"/>
          <w:divBdr>
            <w:top w:val="none" w:sz="0" w:space="0" w:color="auto"/>
            <w:left w:val="none" w:sz="0" w:space="0" w:color="auto"/>
            <w:bottom w:val="none" w:sz="0" w:space="0" w:color="auto"/>
            <w:right w:val="none" w:sz="0" w:space="0" w:color="auto"/>
          </w:divBdr>
        </w:div>
        <w:div w:id="169224276">
          <w:marLeft w:val="0"/>
          <w:marRight w:val="0"/>
          <w:marTop w:val="0"/>
          <w:marBottom w:val="0"/>
          <w:divBdr>
            <w:top w:val="none" w:sz="0" w:space="0" w:color="auto"/>
            <w:left w:val="none" w:sz="0" w:space="0" w:color="auto"/>
            <w:bottom w:val="none" w:sz="0" w:space="0" w:color="auto"/>
            <w:right w:val="none" w:sz="0" w:space="0" w:color="auto"/>
          </w:divBdr>
        </w:div>
        <w:div w:id="822889567">
          <w:marLeft w:val="0"/>
          <w:marRight w:val="0"/>
          <w:marTop w:val="0"/>
          <w:marBottom w:val="0"/>
          <w:divBdr>
            <w:top w:val="none" w:sz="0" w:space="0" w:color="auto"/>
            <w:left w:val="none" w:sz="0" w:space="0" w:color="auto"/>
            <w:bottom w:val="none" w:sz="0" w:space="0" w:color="auto"/>
            <w:right w:val="none" w:sz="0" w:space="0" w:color="auto"/>
          </w:divBdr>
        </w:div>
        <w:div w:id="2010207518">
          <w:marLeft w:val="0"/>
          <w:marRight w:val="0"/>
          <w:marTop w:val="0"/>
          <w:marBottom w:val="0"/>
          <w:divBdr>
            <w:top w:val="none" w:sz="0" w:space="0" w:color="auto"/>
            <w:left w:val="none" w:sz="0" w:space="0" w:color="auto"/>
            <w:bottom w:val="none" w:sz="0" w:space="0" w:color="auto"/>
            <w:right w:val="none" w:sz="0" w:space="0" w:color="auto"/>
          </w:divBdr>
        </w:div>
        <w:div w:id="2091341402">
          <w:marLeft w:val="0"/>
          <w:marRight w:val="0"/>
          <w:marTop w:val="0"/>
          <w:marBottom w:val="0"/>
          <w:divBdr>
            <w:top w:val="none" w:sz="0" w:space="0" w:color="auto"/>
            <w:left w:val="none" w:sz="0" w:space="0" w:color="auto"/>
            <w:bottom w:val="none" w:sz="0" w:space="0" w:color="auto"/>
            <w:right w:val="none" w:sz="0" w:space="0" w:color="auto"/>
          </w:divBdr>
        </w:div>
        <w:div w:id="1760826154">
          <w:marLeft w:val="0"/>
          <w:marRight w:val="0"/>
          <w:marTop w:val="0"/>
          <w:marBottom w:val="0"/>
          <w:divBdr>
            <w:top w:val="none" w:sz="0" w:space="0" w:color="auto"/>
            <w:left w:val="none" w:sz="0" w:space="0" w:color="auto"/>
            <w:bottom w:val="none" w:sz="0" w:space="0" w:color="auto"/>
            <w:right w:val="none" w:sz="0" w:space="0" w:color="auto"/>
          </w:divBdr>
        </w:div>
        <w:div w:id="1766144328">
          <w:marLeft w:val="0"/>
          <w:marRight w:val="0"/>
          <w:marTop w:val="0"/>
          <w:marBottom w:val="0"/>
          <w:divBdr>
            <w:top w:val="none" w:sz="0" w:space="0" w:color="auto"/>
            <w:left w:val="none" w:sz="0" w:space="0" w:color="auto"/>
            <w:bottom w:val="none" w:sz="0" w:space="0" w:color="auto"/>
            <w:right w:val="none" w:sz="0" w:space="0" w:color="auto"/>
          </w:divBdr>
        </w:div>
        <w:div w:id="546839304">
          <w:marLeft w:val="0"/>
          <w:marRight w:val="0"/>
          <w:marTop w:val="0"/>
          <w:marBottom w:val="0"/>
          <w:divBdr>
            <w:top w:val="none" w:sz="0" w:space="0" w:color="auto"/>
            <w:left w:val="none" w:sz="0" w:space="0" w:color="auto"/>
            <w:bottom w:val="none" w:sz="0" w:space="0" w:color="auto"/>
            <w:right w:val="none" w:sz="0" w:space="0" w:color="auto"/>
          </w:divBdr>
        </w:div>
      </w:divsChild>
    </w:div>
    <w:div w:id="1848403622">
      <w:bodyDiv w:val="1"/>
      <w:marLeft w:val="0"/>
      <w:marRight w:val="0"/>
      <w:marTop w:val="0"/>
      <w:marBottom w:val="0"/>
      <w:divBdr>
        <w:top w:val="none" w:sz="0" w:space="0" w:color="auto"/>
        <w:left w:val="none" w:sz="0" w:space="0" w:color="auto"/>
        <w:bottom w:val="none" w:sz="0" w:space="0" w:color="auto"/>
        <w:right w:val="none" w:sz="0" w:space="0" w:color="auto"/>
      </w:divBdr>
    </w:div>
    <w:div w:id="1908150277">
      <w:bodyDiv w:val="1"/>
      <w:marLeft w:val="0"/>
      <w:marRight w:val="0"/>
      <w:marTop w:val="0"/>
      <w:marBottom w:val="0"/>
      <w:divBdr>
        <w:top w:val="none" w:sz="0" w:space="0" w:color="auto"/>
        <w:left w:val="none" w:sz="0" w:space="0" w:color="auto"/>
        <w:bottom w:val="none" w:sz="0" w:space="0" w:color="auto"/>
        <w:right w:val="none" w:sz="0" w:space="0" w:color="auto"/>
      </w:divBdr>
      <w:divsChild>
        <w:div w:id="995719763">
          <w:marLeft w:val="0"/>
          <w:marRight w:val="0"/>
          <w:marTop w:val="0"/>
          <w:marBottom w:val="0"/>
          <w:divBdr>
            <w:top w:val="none" w:sz="0" w:space="0" w:color="auto"/>
            <w:left w:val="none" w:sz="0" w:space="0" w:color="auto"/>
            <w:bottom w:val="none" w:sz="0" w:space="0" w:color="auto"/>
            <w:right w:val="none" w:sz="0" w:space="0" w:color="auto"/>
          </w:divBdr>
          <w:divsChild>
            <w:div w:id="2110545328">
              <w:marLeft w:val="0"/>
              <w:marRight w:val="0"/>
              <w:marTop w:val="0"/>
              <w:marBottom w:val="0"/>
              <w:divBdr>
                <w:top w:val="none" w:sz="0" w:space="0" w:color="auto"/>
                <w:left w:val="none" w:sz="0" w:space="0" w:color="auto"/>
                <w:bottom w:val="none" w:sz="0" w:space="0" w:color="auto"/>
                <w:right w:val="none" w:sz="0" w:space="0" w:color="auto"/>
              </w:divBdr>
            </w:div>
          </w:divsChild>
        </w:div>
        <w:div w:id="2108891527">
          <w:marLeft w:val="0"/>
          <w:marRight w:val="0"/>
          <w:marTop w:val="0"/>
          <w:marBottom w:val="0"/>
          <w:divBdr>
            <w:top w:val="none" w:sz="0" w:space="0" w:color="auto"/>
            <w:left w:val="none" w:sz="0" w:space="0" w:color="auto"/>
            <w:bottom w:val="none" w:sz="0" w:space="0" w:color="auto"/>
            <w:right w:val="none" w:sz="0" w:space="0" w:color="auto"/>
          </w:divBdr>
        </w:div>
        <w:div w:id="658653026">
          <w:marLeft w:val="0"/>
          <w:marRight w:val="0"/>
          <w:marTop w:val="0"/>
          <w:marBottom w:val="0"/>
          <w:divBdr>
            <w:top w:val="none" w:sz="0" w:space="0" w:color="auto"/>
            <w:left w:val="none" w:sz="0" w:space="0" w:color="auto"/>
            <w:bottom w:val="none" w:sz="0" w:space="0" w:color="auto"/>
            <w:right w:val="none" w:sz="0" w:space="0" w:color="auto"/>
          </w:divBdr>
        </w:div>
        <w:div w:id="1080252303">
          <w:marLeft w:val="0"/>
          <w:marRight w:val="0"/>
          <w:marTop w:val="0"/>
          <w:marBottom w:val="0"/>
          <w:divBdr>
            <w:top w:val="none" w:sz="0" w:space="0" w:color="auto"/>
            <w:left w:val="none" w:sz="0" w:space="0" w:color="auto"/>
            <w:bottom w:val="none" w:sz="0" w:space="0" w:color="auto"/>
            <w:right w:val="none" w:sz="0" w:space="0" w:color="auto"/>
          </w:divBdr>
        </w:div>
        <w:div w:id="1011445638">
          <w:marLeft w:val="0"/>
          <w:marRight w:val="0"/>
          <w:marTop w:val="0"/>
          <w:marBottom w:val="0"/>
          <w:divBdr>
            <w:top w:val="none" w:sz="0" w:space="0" w:color="auto"/>
            <w:left w:val="none" w:sz="0" w:space="0" w:color="auto"/>
            <w:bottom w:val="none" w:sz="0" w:space="0" w:color="auto"/>
            <w:right w:val="none" w:sz="0" w:space="0" w:color="auto"/>
          </w:divBdr>
        </w:div>
      </w:divsChild>
    </w:div>
    <w:div w:id="1982269053">
      <w:bodyDiv w:val="1"/>
      <w:marLeft w:val="0"/>
      <w:marRight w:val="0"/>
      <w:marTop w:val="0"/>
      <w:marBottom w:val="0"/>
      <w:divBdr>
        <w:top w:val="none" w:sz="0" w:space="0" w:color="auto"/>
        <w:left w:val="none" w:sz="0" w:space="0" w:color="auto"/>
        <w:bottom w:val="none" w:sz="0" w:space="0" w:color="auto"/>
        <w:right w:val="none" w:sz="0" w:space="0" w:color="auto"/>
      </w:divBdr>
    </w:div>
    <w:div w:id="2021199560">
      <w:bodyDiv w:val="1"/>
      <w:marLeft w:val="0"/>
      <w:marRight w:val="0"/>
      <w:marTop w:val="0"/>
      <w:marBottom w:val="0"/>
      <w:divBdr>
        <w:top w:val="none" w:sz="0" w:space="0" w:color="auto"/>
        <w:left w:val="none" w:sz="0" w:space="0" w:color="auto"/>
        <w:bottom w:val="none" w:sz="0" w:space="0" w:color="auto"/>
        <w:right w:val="none" w:sz="0" w:space="0" w:color="auto"/>
      </w:divBdr>
      <w:divsChild>
        <w:div w:id="1762412180">
          <w:marLeft w:val="0"/>
          <w:marRight w:val="0"/>
          <w:marTop w:val="0"/>
          <w:marBottom w:val="0"/>
          <w:divBdr>
            <w:top w:val="none" w:sz="0" w:space="0" w:color="auto"/>
            <w:left w:val="none" w:sz="0" w:space="0" w:color="auto"/>
            <w:bottom w:val="none" w:sz="0" w:space="0" w:color="auto"/>
            <w:right w:val="none" w:sz="0" w:space="0" w:color="auto"/>
          </w:divBdr>
        </w:div>
        <w:div w:id="685861838">
          <w:marLeft w:val="0"/>
          <w:marRight w:val="0"/>
          <w:marTop w:val="0"/>
          <w:marBottom w:val="0"/>
          <w:divBdr>
            <w:top w:val="none" w:sz="0" w:space="0" w:color="auto"/>
            <w:left w:val="none" w:sz="0" w:space="0" w:color="auto"/>
            <w:bottom w:val="none" w:sz="0" w:space="0" w:color="auto"/>
            <w:right w:val="none" w:sz="0" w:space="0" w:color="auto"/>
          </w:divBdr>
        </w:div>
      </w:divsChild>
    </w:div>
    <w:div w:id="2077049459">
      <w:bodyDiv w:val="1"/>
      <w:marLeft w:val="0"/>
      <w:marRight w:val="0"/>
      <w:marTop w:val="0"/>
      <w:marBottom w:val="0"/>
      <w:divBdr>
        <w:top w:val="none" w:sz="0" w:space="0" w:color="auto"/>
        <w:left w:val="none" w:sz="0" w:space="0" w:color="auto"/>
        <w:bottom w:val="none" w:sz="0" w:space="0" w:color="auto"/>
        <w:right w:val="none" w:sz="0" w:space="0" w:color="auto"/>
      </w:divBdr>
    </w:div>
    <w:div w:id="2126381931">
      <w:bodyDiv w:val="1"/>
      <w:marLeft w:val="0"/>
      <w:marRight w:val="0"/>
      <w:marTop w:val="0"/>
      <w:marBottom w:val="0"/>
      <w:divBdr>
        <w:top w:val="none" w:sz="0" w:space="0" w:color="auto"/>
        <w:left w:val="none" w:sz="0" w:space="0" w:color="auto"/>
        <w:bottom w:val="none" w:sz="0" w:space="0" w:color="auto"/>
        <w:right w:val="none" w:sz="0" w:space="0" w:color="auto"/>
      </w:divBdr>
    </w:div>
    <w:div w:id="213845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1689</Words>
  <Characters>9628</Characters>
  <Application>Microsoft Office Word</Application>
  <DocSecurity>0</DocSecurity>
  <Lines>80</Lines>
  <Paragraphs>22</Paragraphs>
  <ScaleCrop>false</ScaleCrop>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Sneddon</dc:creator>
  <cp:keywords/>
  <dc:description/>
  <cp:lastModifiedBy>Helga Sneddon</cp:lastModifiedBy>
  <cp:revision>2</cp:revision>
  <cp:lastPrinted>2026-03-10T08:31:00Z</cp:lastPrinted>
  <dcterms:created xsi:type="dcterms:W3CDTF">2026-06-12T14:25:00Z</dcterms:created>
  <dcterms:modified xsi:type="dcterms:W3CDTF">2026-06-12T14:25:00Z</dcterms:modified>
</cp:coreProperties>
</file>