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F85C64" w:rsidRDefault="00324401" w:rsidP="00BB6DAA">
      <w:pPr>
        <w:pStyle w:val="Title"/>
      </w:pPr>
    </w:p>
    <w:p w14:paraId="1D2ED5A0" w14:textId="77777777" w:rsidR="00324401" w:rsidRPr="00F85C64" w:rsidRDefault="00324401" w:rsidP="00BB6DAA">
      <w:pPr>
        <w:pStyle w:val="Title"/>
      </w:pPr>
    </w:p>
    <w:p w14:paraId="52D1889B" w14:textId="77777777" w:rsidR="00324401" w:rsidRPr="00F85C64" w:rsidRDefault="00324401" w:rsidP="00BB6DAA">
      <w:pPr>
        <w:pStyle w:val="Title"/>
      </w:pPr>
    </w:p>
    <w:p w14:paraId="0333E26B" w14:textId="77777777" w:rsidR="00324401" w:rsidRPr="00F85C64" w:rsidRDefault="00324401" w:rsidP="00BB6DAA">
      <w:pPr>
        <w:pStyle w:val="Title"/>
      </w:pPr>
    </w:p>
    <w:p w14:paraId="28D4FCD3" w14:textId="77777777" w:rsidR="00324401" w:rsidRPr="00F85C64" w:rsidRDefault="00324401" w:rsidP="00BB6DAA">
      <w:pPr>
        <w:pStyle w:val="Title"/>
      </w:pPr>
    </w:p>
    <w:p w14:paraId="3B890D83" w14:textId="77777777" w:rsidR="004E4D49" w:rsidRPr="004E4D49" w:rsidRDefault="004E4D49" w:rsidP="00155904">
      <w:pPr>
        <w:pStyle w:val="Title"/>
      </w:pPr>
      <w:r w:rsidRPr="004E4D49">
        <w:t>Self-Directed Support (SDS) Autonomy, Outcomes, Measurement, and Implementation in Northern Ireland</w:t>
      </w:r>
    </w:p>
    <w:p w14:paraId="3027A634" w14:textId="77777777" w:rsidR="004E4D49" w:rsidRPr="004E4D49" w:rsidRDefault="004E4D49" w:rsidP="004E4D49">
      <w:pPr>
        <w:jc w:val="center"/>
        <w:rPr>
          <w:rFonts w:ascii="Arial" w:hAnsi="Arial" w:cs="Arial"/>
          <w:b/>
          <w:bCs/>
          <w:sz w:val="24"/>
          <w:szCs w:val="24"/>
        </w:rPr>
      </w:pPr>
      <w:r w:rsidRPr="004E4D49">
        <w:rPr>
          <w:rFonts w:ascii="Arial" w:hAnsi="Arial" w:cs="Arial"/>
          <w:b/>
          <w:bCs/>
          <w:sz w:val="24"/>
          <w:szCs w:val="24"/>
        </w:rPr>
        <w:t>IMPACT Demonstrator Project: Southern Trust, Northern Ireland</w:t>
      </w:r>
    </w:p>
    <w:p w14:paraId="7C1FECCF" w14:textId="77777777" w:rsidR="004E4D49" w:rsidRPr="004E4D49" w:rsidRDefault="004E4D49" w:rsidP="004E4D49">
      <w:pPr>
        <w:jc w:val="center"/>
        <w:rPr>
          <w:rFonts w:ascii="Arial" w:hAnsi="Arial" w:cs="Arial"/>
          <w:b/>
          <w:bCs/>
          <w:sz w:val="24"/>
          <w:szCs w:val="24"/>
        </w:rPr>
      </w:pPr>
    </w:p>
    <w:p w14:paraId="034D6DDD" w14:textId="77777777" w:rsidR="007A4800" w:rsidRPr="003D5A52" w:rsidRDefault="007A4800" w:rsidP="007A4800">
      <w:pPr>
        <w:spacing w:line="360" w:lineRule="auto"/>
        <w:jc w:val="center"/>
        <w:rPr>
          <w:rFonts w:ascii="Arial" w:hAnsi="Arial" w:cs="Arial"/>
          <w:sz w:val="24"/>
          <w:szCs w:val="24"/>
        </w:rPr>
      </w:pPr>
      <w:r w:rsidRPr="003D5A52">
        <w:rPr>
          <w:rFonts w:ascii="Arial" w:hAnsi="Arial" w:cs="Arial"/>
          <w:sz w:val="24"/>
          <w:szCs w:val="24"/>
        </w:rPr>
        <w:t>Obert Tawodzera</w:t>
      </w:r>
    </w:p>
    <w:p w14:paraId="05802136" w14:textId="7235594E" w:rsidR="0767B820" w:rsidRPr="003D5A52" w:rsidRDefault="007A4800" w:rsidP="007A4800">
      <w:pPr>
        <w:spacing w:line="360" w:lineRule="auto"/>
        <w:jc w:val="center"/>
        <w:rPr>
          <w:rFonts w:ascii="Arial" w:hAnsi="Arial" w:cs="Arial"/>
          <w:sz w:val="24"/>
          <w:szCs w:val="24"/>
        </w:rPr>
      </w:pPr>
      <w:r w:rsidRPr="003D5A52">
        <w:rPr>
          <w:rFonts w:ascii="Arial" w:hAnsi="Arial" w:cs="Arial"/>
          <w:sz w:val="24"/>
          <w:szCs w:val="24"/>
        </w:rPr>
        <w:t>August 2025</w:t>
      </w:r>
    </w:p>
    <w:p w14:paraId="57519C8F" w14:textId="77777777" w:rsidR="004E4D49" w:rsidRDefault="004E4D49" w:rsidP="0767B820">
      <w:pPr>
        <w:spacing w:line="360" w:lineRule="auto"/>
        <w:rPr>
          <w:rFonts w:ascii="Arial" w:hAnsi="Arial" w:cs="Arial"/>
          <w:b/>
          <w:bCs/>
          <w:sz w:val="24"/>
          <w:szCs w:val="24"/>
        </w:rPr>
      </w:pPr>
    </w:p>
    <w:p w14:paraId="42EC4116" w14:textId="77777777" w:rsidR="004E4D49" w:rsidRDefault="004E4D49" w:rsidP="0767B820">
      <w:pPr>
        <w:spacing w:line="360" w:lineRule="auto"/>
        <w:rPr>
          <w:rFonts w:ascii="Arial" w:hAnsi="Arial" w:cs="Arial"/>
          <w:b/>
          <w:bCs/>
          <w:sz w:val="24"/>
          <w:szCs w:val="24"/>
        </w:rPr>
      </w:pPr>
    </w:p>
    <w:p w14:paraId="4B9CBBB5" w14:textId="77777777" w:rsidR="004E4D49" w:rsidRDefault="004E4D49" w:rsidP="0767B820">
      <w:pPr>
        <w:spacing w:line="360" w:lineRule="auto"/>
        <w:rPr>
          <w:rFonts w:ascii="Arial" w:hAnsi="Arial" w:cs="Arial"/>
          <w:b/>
          <w:bCs/>
          <w:sz w:val="24"/>
          <w:szCs w:val="24"/>
        </w:rPr>
      </w:pPr>
    </w:p>
    <w:p w14:paraId="7FEDEA33" w14:textId="77777777" w:rsidR="004E4D49" w:rsidRDefault="004E4D49" w:rsidP="0767B820">
      <w:pPr>
        <w:spacing w:line="360" w:lineRule="auto"/>
        <w:rPr>
          <w:rFonts w:ascii="Arial" w:hAnsi="Arial" w:cs="Arial"/>
          <w:b/>
          <w:bCs/>
          <w:sz w:val="24"/>
          <w:szCs w:val="24"/>
        </w:rPr>
      </w:pPr>
    </w:p>
    <w:p w14:paraId="2DF6F80C" w14:textId="77777777" w:rsidR="004E4D49" w:rsidRDefault="004E4D49" w:rsidP="0767B820">
      <w:pPr>
        <w:spacing w:line="360" w:lineRule="auto"/>
        <w:rPr>
          <w:rFonts w:ascii="Arial" w:hAnsi="Arial" w:cs="Arial"/>
          <w:b/>
          <w:bCs/>
          <w:sz w:val="24"/>
          <w:szCs w:val="24"/>
        </w:rPr>
      </w:pPr>
    </w:p>
    <w:p w14:paraId="0CBB825B" w14:textId="77777777" w:rsidR="004E4D49" w:rsidRDefault="004E4D49" w:rsidP="0767B820">
      <w:pPr>
        <w:spacing w:line="360" w:lineRule="auto"/>
        <w:rPr>
          <w:rFonts w:ascii="Arial" w:hAnsi="Arial" w:cs="Arial"/>
          <w:b/>
          <w:bCs/>
          <w:sz w:val="24"/>
          <w:szCs w:val="24"/>
        </w:rPr>
      </w:pPr>
    </w:p>
    <w:p w14:paraId="29B6B506" w14:textId="77777777" w:rsidR="004E4D49" w:rsidRDefault="004E4D49" w:rsidP="0767B820">
      <w:pPr>
        <w:spacing w:line="360" w:lineRule="auto"/>
        <w:rPr>
          <w:rFonts w:ascii="Arial" w:hAnsi="Arial" w:cs="Arial"/>
          <w:b/>
          <w:bCs/>
          <w:sz w:val="24"/>
          <w:szCs w:val="24"/>
        </w:rPr>
      </w:pPr>
    </w:p>
    <w:p w14:paraId="1AA1B005" w14:textId="77777777" w:rsidR="00155904" w:rsidRDefault="00155904" w:rsidP="0767B820">
      <w:pPr>
        <w:spacing w:line="360" w:lineRule="auto"/>
        <w:rPr>
          <w:rFonts w:ascii="Arial" w:hAnsi="Arial" w:cs="Arial"/>
          <w:b/>
          <w:bCs/>
          <w:sz w:val="24"/>
          <w:szCs w:val="24"/>
        </w:rPr>
      </w:pPr>
    </w:p>
    <w:p w14:paraId="26D5832F" w14:textId="07A58C3B" w:rsidR="004E4D49" w:rsidRPr="008F4295" w:rsidRDefault="00F645F7" w:rsidP="00334F09">
      <w:pPr>
        <w:pStyle w:val="Heading1"/>
        <w:jc w:val="both"/>
        <w:rPr>
          <w:sz w:val="24"/>
          <w:szCs w:val="24"/>
        </w:rPr>
      </w:pPr>
      <w:r w:rsidRPr="008F4295">
        <w:rPr>
          <w:sz w:val="24"/>
          <w:szCs w:val="24"/>
        </w:rPr>
        <w:lastRenderedPageBreak/>
        <w:t>Introduction</w:t>
      </w:r>
    </w:p>
    <w:p w14:paraId="55740CA7" w14:textId="77777777" w:rsidR="00F645F7" w:rsidRPr="008F4295" w:rsidRDefault="00F645F7" w:rsidP="00334F09">
      <w:pPr>
        <w:spacing w:line="360" w:lineRule="auto"/>
        <w:jc w:val="both"/>
        <w:rPr>
          <w:rFonts w:ascii="Arial" w:hAnsi="Arial" w:cs="Arial"/>
          <w:sz w:val="24"/>
          <w:szCs w:val="24"/>
        </w:rPr>
      </w:pPr>
      <w:r w:rsidRPr="008F4295">
        <w:rPr>
          <w:rFonts w:ascii="Arial" w:hAnsi="Arial" w:cs="Arial"/>
          <w:sz w:val="24"/>
          <w:szCs w:val="24"/>
        </w:rPr>
        <w:t>Self-Directed Support (SDS) represents a transformative shift in social care, marking a departure from traditional, provider-led models toward one grounded in personalisation, empowerment, and human rights. Rather than being passive recipients of standardised services, individuals are supported to make choices about their care, take control of personal budgets, and tailor support to their own goals and circumstances (Pearson, 2006; Glasby and Littlechild, 2009; Duffy, 2010; Glasby, 2014). The overarching aim is to improve people’s lives by enabling them to live more independently, with dignity, and on their own terms.</w:t>
      </w:r>
    </w:p>
    <w:p w14:paraId="60164B57" w14:textId="12D0D60A" w:rsidR="00F645F7" w:rsidRPr="008F4295" w:rsidRDefault="00F645F7" w:rsidP="00334F09">
      <w:pPr>
        <w:spacing w:line="360" w:lineRule="auto"/>
        <w:jc w:val="both"/>
        <w:rPr>
          <w:rFonts w:ascii="Arial" w:hAnsi="Arial" w:cs="Arial"/>
          <w:sz w:val="24"/>
          <w:szCs w:val="24"/>
        </w:rPr>
      </w:pPr>
      <w:r w:rsidRPr="008F4295">
        <w:rPr>
          <w:rFonts w:ascii="Arial" w:hAnsi="Arial" w:cs="Arial"/>
          <w:sz w:val="24"/>
          <w:szCs w:val="24"/>
        </w:rPr>
        <w:t>However, this model raises important challenges for policy and practice</w:t>
      </w:r>
      <w:r w:rsidR="00704B46" w:rsidRPr="008F4295">
        <w:rPr>
          <w:rFonts w:ascii="Arial" w:hAnsi="Arial" w:cs="Arial"/>
          <w:sz w:val="24"/>
          <w:szCs w:val="24"/>
        </w:rPr>
        <w:t xml:space="preserve">, </w:t>
      </w:r>
      <w:r w:rsidRPr="008F4295">
        <w:rPr>
          <w:rFonts w:ascii="Arial" w:hAnsi="Arial" w:cs="Arial"/>
          <w:sz w:val="24"/>
          <w:szCs w:val="24"/>
        </w:rPr>
        <w:t>particularly around how to define, measure, and evidence outcomes. In Northern Ireland (NI), where efforts to embed SDS are ongoing, a central issue remains how to capture outcomes that are meaningful to individuals, feasible for practitioners to assess, and robust enough to inform strategic decision-making. Unlike more standardised services, SDS places individuals at the centre of care planning, and outcomes are correspondingly diverse and personal. Success may mean gaining independence, maintaining wellbeing, avoiding deterioration, or improving relationships</w:t>
      </w:r>
      <w:r w:rsidR="00704B46" w:rsidRPr="008F4295">
        <w:rPr>
          <w:rFonts w:ascii="Arial" w:hAnsi="Arial" w:cs="Arial"/>
          <w:sz w:val="24"/>
          <w:szCs w:val="24"/>
        </w:rPr>
        <w:t xml:space="preserve">, </w:t>
      </w:r>
      <w:r w:rsidRPr="008F4295">
        <w:rPr>
          <w:rFonts w:ascii="Arial" w:hAnsi="Arial" w:cs="Arial"/>
          <w:sz w:val="24"/>
          <w:szCs w:val="24"/>
        </w:rPr>
        <w:t>and progress may not follow a linear path (Carr, 2011).</w:t>
      </w:r>
    </w:p>
    <w:p w14:paraId="52553F4B" w14:textId="0A92085E" w:rsidR="00F645F7" w:rsidRPr="008F4295" w:rsidRDefault="00F645F7" w:rsidP="00334F09">
      <w:pPr>
        <w:spacing w:line="360" w:lineRule="auto"/>
        <w:jc w:val="both"/>
        <w:rPr>
          <w:rFonts w:ascii="Arial" w:hAnsi="Arial" w:cs="Arial"/>
          <w:sz w:val="24"/>
          <w:szCs w:val="24"/>
        </w:rPr>
      </w:pPr>
      <w:r w:rsidRPr="008F4295">
        <w:rPr>
          <w:rFonts w:ascii="Arial" w:hAnsi="Arial" w:cs="Arial"/>
          <w:sz w:val="24"/>
          <w:szCs w:val="24"/>
        </w:rPr>
        <w:t>Although N</w:t>
      </w:r>
      <w:r w:rsidR="00704B46" w:rsidRPr="008F4295">
        <w:rPr>
          <w:rFonts w:ascii="Arial" w:hAnsi="Arial" w:cs="Arial"/>
          <w:sz w:val="24"/>
          <w:szCs w:val="24"/>
        </w:rPr>
        <w:t>orthern Ireland</w:t>
      </w:r>
      <w:r w:rsidRPr="008F4295">
        <w:rPr>
          <w:rFonts w:ascii="Arial" w:hAnsi="Arial" w:cs="Arial"/>
          <w:sz w:val="24"/>
          <w:szCs w:val="24"/>
        </w:rPr>
        <w:t xml:space="preserve"> lacks the statutory clarity and national infrastructure seen in other UK jurisdictions, such as Scotland and Wales (Glendinning, 2007; Hughes, 2024; Chapman, 2020), the direction of travel is clear. The Programme for Government and the use of Outcomes-Based Accountability (OBA) frameworks across public services reflect a growing commitment to outcome-focused planning</w:t>
      </w:r>
      <w:r w:rsidR="00896EE7" w:rsidRPr="008F4295">
        <w:rPr>
          <w:rFonts w:ascii="Arial" w:hAnsi="Arial" w:cs="Arial"/>
          <w:sz w:val="24"/>
          <w:szCs w:val="24"/>
        </w:rPr>
        <w:t xml:space="preserve"> (See Orme, 2022)</w:t>
      </w:r>
      <w:r w:rsidRPr="008F4295">
        <w:rPr>
          <w:rFonts w:ascii="Arial" w:hAnsi="Arial" w:cs="Arial"/>
          <w:sz w:val="24"/>
          <w:szCs w:val="24"/>
        </w:rPr>
        <w:t>. More recently, local innovations</w:t>
      </w:r>
      <w:r w:rsidR="00DC2CBA" w:rsidRPr="008F4295">
        <w:rPr>
          <w:rFonts w:ascii="Arial" w:hAnsi="Arial" w:cs="Arial"/>
          <w:sz w:val="24"/>
          <w:szCs w:val="24"/>
        </w:rPr>
        <w:t>,</w:t>
      </w:r>
      <w:r w:rsidR="0080106D" w:rsidRPr="008F4295">
        <w:rPr>
          <w:rFonts w:ascii="Arial" w:hAnsi="Arial" w:cs="Arial"/>
          <w:sz w:val="24"/>
          <w:szCs w:val="24"/>
        </w:rPr>
        <w:t xml:space="preserve"> </w:t>
      </w:r>
      <w:r w:rsidRPr="008F4295">
        <w:rPr>
          <w:rFonts w:ascii="Arial" w:hAnsi="Arial" w:cs="Arial"/>
          <w:sz w:val="24"/>
          <w:szCs w:val="24"/>
        </w:rPr>
        <w:t xml:space="preserve">such as the </w:t>
      </w:r>
      <w:r w:rsidR="000C6F72" w:rsidRPr="008F4295">
        <w:rPr>
          <w:rFonts w:ascii="Arial" w:hAnsi="Arial" w:cs="Arial"/>
          <w:sz w:val="24"/>
          <w:szCs w:val="24"/>
        </w:rPr>
        <w:t>IMPACT</w:t>
      </w:r>
      <w:r w:rsidR="00BC6D9B" w:rsidRPr="008F4295">
        <w:rPr>
          <w:rFonts w:ascii="Arial" w:hAnsi="Arial" w:cs="Arial"/>
          <w:sz w:val="24"/>
          <w:szCs w:val="24"/>
        </w:rPr>
        <w:t xml:space="preserve"> </w:t>
      </w:r>
      <w:r w:rsidRPr="008F4295">
        <w:rPr>
          <w:rFonts w:ascii="Arial" w:hAnsi="Arial" w:cs="Arial"/>
          <w:sz w:val="24"/>
          <w:szCs w:val="24"/>
        </w:rPr>
        <w:t>Managed Budgets initiative</w:t>
      </w:r>
      <w:r w:rsidR="00DC2CBA" w:rsidRPr="008F4295">
        <w:rPr>
          <w:rFonts w:ascii="Arial" w:hAnsi="Arial" w:cs="Arial"/>
          <w:sz w:val="24"/>
          <w:szCs w:val="24"/>
        </w:rPr>
        <w:t xml:space="preserve">, </w:t>
      </w:r>
      <w:r w:rsidRPr="008F4295">
        <w:rPr>
          <w:rFonts w:ascii="Arial" w:hAnsi="Arial" w:cs="Arial"/>
          <w:sz w:val="24"/>
          <w:szCs w:val="24"/>
        </w:rPr>
        <w:t xml:space="preserve">demonstrate that Health and Social Care Trusts are taking practical steps to strengthen personalisation and improve the SDS offer. The current </w:t>
      </w:r>
      <w:r w:rsidR="006278F0" w:rsidRPr="008F4295">
        <w:rPr>
          <w:rFonts w:ascii="Arial" w:hAnsi="Arial" w:cs="Arial"/>
          <w:sz w:val="24"/>
          <w:szCs w:val="24"/>
        </w:rPr>
        <w:t xml:space="preserve">IMPACT </w:t>
      </w:r>
      <w:r w:rsidRPr="008F4295">
        <w:rPr>
          <w:rFonts w:ascii="Arial" w:hAnsi="Arial" w:cs="Arial"/>
          <w:sz w:val="24"/>
          <w:szCs w:val="24"/>
        </w:rPr>
        <w:t>demonstrator project reflects this intent, offering a valuable opportunity to build capacity for outcomes measurement in SDS.</w:t>
      </w:r>
    </w:p>
    <w:p w14:paraId="2B69EF4C" w14:textId="77777777" w:rsidR="00F645F7" w:rsidRPr="008F4295" w:rsidRDefault="00F645F7" w:rsidP="00334F09">
      <w:pPr>
        <w:spacing w:line="360" w:lineRule="auto"/>
        <w:jc w:val="both"/>
        <w:rPr>
          <w:rFonts w:ascii="Arial" w:hAnsi="Arial" w:cs="Arial"/>
          <w:sz w:val="24"/>
          <w:szCs w:val="24"/>
        </w:rPr>
      </w:pPr>
      <w:r w:rsidRPr="008F4295">
        <w:rPr>
          <w:rFonts w:ascii="Arial" w:hAnsi="Arial" w:cs="Arial"/>
          <w:sz w:val="24"/>
          <w:szCs w:val="24"/>
        </w:rPr>
        <w:t xml:space="preserve">However, measuring outcomes in this context brings significant complexity. People experience SDS in varied ways, start from different baselines, and may show change </w:t>
      </w:r>
      <w:r w:rsidRPr="008F4295">
        <w:rPr>
          <w:rFonts w:ascii="Arial" w:hAnsi="Arial" w:cs="Arial"/>
          <w:sz w:val="24"/>
          <w:szCs w:val="24"/>
        </w:rPr>
        <w:lastRenderedPageBreak/>
        <w:t xml:space="preserve">at different rates, or not at all, for reasons unrelated to service quality. In some cases, the intended outcome is simply to maintain stability rather than demonstrate measurable improvement. Tools must therefore be proportionate, easy to use in frontline practice, and capable of producing data that supports both personalised planning and broader service evaluation (Rand et al., 2017; Carey et al., 2019). While quantitative tools offer structure and comparability, they may feel burdensome or too clinical. Qualitative methods, while richer in insight, can produce data that is harder to analyse consistently and risks being selectively interpreted (Paley and </w:t>
      </w:r>
      <w:proofErr w:type="spellStart"/>
      <w:r w:rsidRPr="008F4295">
        <w:rPr>
          <w:rFonts w:ascii="Arial" w:hAnsi="Arial" w:cs="Arial"/>
          <w:sz w:val="24"/>
          <w:szCs w:val="24"/>
        </w:rPr>
        <w:t>Slasberg</w:t>
      </w:r>
      <w:proofErr w:type="spellEnd"/>
      <w:r w:rsidRPr="008F4295">
        <w:rPr>
          <w:rFonts w:ascii="Arial" w:hAnsi="Arial" w:cs="Arial"/>
          <w:sz w:val="24"/>
          <w:szCs w:val="24"/>
        </w:rPr>
        <w:t>, 2007).</w:t>
      </w:r>
    </w:p>
    <w:p w14:paraId="1A0E024A" w14:textId="0F2A8B09" w:rsidR="00F645F7" w:rsidRPr="008F4295" w:rsidRDefault="00F645F7" w:rsidP="00334F09">
      <w:pPr>
        <w:spacing w:line="360" w:lineRule="auto"/>
        <w:jc w:val="both"/>
        <w:rPr>
          <w:rFonts w:ascii="Arial" w:hAnsi="Arial" w:cs="Arial"/>
          <w:sz w:val="24"/>
          <w:szCs w:val="24"/>
        </w:rPr>
      </w:pPr>
      <w:r w:rsidRPr="008F4295">
        <w:rPr>
          <w:rFonts w:ascii="Arial" w:hAnsi="Arial" w:cs="Arial"/>
          <w:sz w:val="24"/>
          <w:szCs w:val="24"/>
        </w:rPr>
        <w:t xml:space="preserve">In parallel with measuring personal outcomes, it is essential to assess how well SDS is being implemented. </w:t>
      </w:r>
      <w:r w:rsidR="008E6DC5" w:rsidRPr="008F4295">
        <w:rPr>
          <w:rFonts w:ascii="Arial" w:hAnsi="Arial" w:cs="Arial"/>
          <w:sz w:val="24"/>
          <w:szCs w:val="24"/>
        </w:rPr>
        <w:t>The Self-directed Support: Practitioners Guidance (Scottish Government, 2014) argues that for practitioners, monitoring the quality and consistency of delivery</w:t>
      </w:r>
      <w:r w:rsidR="00B82F3B" w:rsidRPr="008F4295">
        <w:rPr>
          <w:rFonts w:ascii="Arial" w:hAnsi="Arial" w:cs="Arial"/>
          <w:sz w:val="24"/>
          <w:szCs w:val="24"/>
        </w:rPr>
        <w:t xml:space="preserve">, </w:t>
      </w:r>
      <w:r w:rsidR="008E6DC5" w:rsidRPr="008F4295">
        <w:rPr>
          <w:rFonts w:ascii="Arial" w:hAnsi="Arial" w:cs="Arial"/>
          <w:sz w:val="24"/>
          <w:szCs w:val="24"/>
        </w:rPr>
        <w:t>including staff readiness, training adequacy, and the achievement of key milestones</w:t>
      </w:r>
      <w:r w:rsidR="00B82F3B" w:rsidRPr="008F4295">
        <w:rPr>
          <w:rFonts w:ascii="Arial" w:hAnsi="Arial" w:cs="Arial"/>
          <w:sz w:val="24"/>
          <w:szCs w:val="24"/>
        </w:rPr>
        <w:t xml:space="preserve">, </w:t>
      </w:r>
      <w:r w:rsidR="008E6DC5" w:rsidRPr="008F4295">
        <w:rPr>
          <w:rFonts w:ascii="Arial" w:hAnsi="Arial" w:cs="Arial"/>
          <w:sz w:val="24"/>
          <w:szCs w:val="24"/>
        </w:rPr>
        <w:t>is essential to ensure the model is being put into practice as intended</w:t>
      </w:r>
      <w:r w:rsidRPr="008F4295">
        <w:rPr>
          <w:rFonts w:ascii="Arial" w:hAnsi="Arial" w:cs="Arial"/>
          <w:sz w:val="24"/>
          <w:szCs w:val="24"/>
        </w:rPr>
        <w:t>. Implementation science frameworks, such as those developed by the National Implementation Research Network (NIRN), provide useful guidance in this regard (</w:t>
      </w:r>
      <w:proofErr w:type="spellStart"/>
      <w:r w:rsidRPr="008F4295">
        <w:rPr>
          <w:rFonts w:ascii="Arial" w:hAnsi="Arial" w:cs="Arial"/>
          <w:sz w:val="24"/>
          <w:szCs w:val="24"/>
        </w:rPr>
        <w:t>DoH</w:t>
      </w:r>
      <w:proofErr w:type="spellEnd"/>
      <w:r w:rsidRPr="008F4295">
        <w:rPr>
          <w:rFonts w:ascii="Arial" w:hAnsi="Arial" w:cs="Arial"/>
          <w:sz w:val="24"/>
          <w:szCs w:val="24"/>
        </w:rPr>
        <w:t xml:space="preserve"> NI, 2022). Without such monitoring, it is difficult to distinguish between the impact of SDS itself and variation in how it is delivered.</w:t>
      </w:r>
    </w:p>
    <w:p w14:paraId="267A95E5" w14:textId="2B3A6EBE" w:rsidR="00F645F7" w:rsidRPr="008F4295" w:rsidRDefault="00F645F7" w:rsidP="00334F09">
      <w:pPr>
        <w:spacing w:line="360" w:lineRule="auto"/>
        <w:jc w:val="both"/>
        <w:rPr>
          <w:rFonts w:ascii="Arial" w:hAnsi="Arial" w:cs="Arial"/>
          <w:sz w:val="24"/>
          <w:szCs w:val="24"/>
        </w:rPr>
      </w:pPr>
      <w:r w:rsidRPr="008F4295">
        <w:rPr>
          <w:rFonts w:ascii="Arial" w:hAnsi="Arial" w:cs="Arial"/>
          <w:sz w:val="24"/>
          <w:szCs w:val="24"/>
        </w:rPr>
        <w:t>Co-production is also central to effective outcomes measurement. Engaging people with lived experience, practitioners, and system leaders in identifying meaningful outcomes and developing practical tools is key to ensuring that measurement is relevant and manageable</w:t>
      </w:r>
      <w:r w:rsidR="00F65383" w:rsidRPr="008F4295">
        <w:rPr>
          <w:rFonts w:ascii="Arial" w:hAnsi="Arial" w:cs="Arial"/>
          <w:sz w:val="24"/>
          <w:szCs w:val="24"/>
        </w:rPr>
        <w:t xml:space="preserve"> (Scottish Government, 2014)</w:t>
      </w:r>
      <w:r w:rsidRPr="008F4295">
        <w:rPr>
          <w:rFonts w:ascii="Arial" w:hAnsi="Arial" w:cs="Arial"/>
          <w:sz w:val="24"/>
          <w:szCs w:val="24"/>
        </w:rPr>
        <w:t>. Approaches such as Social Return on Investment (SROI), person-centred planning, and OBA offer helpful examples of how this has been achieved in practice (Wilberforce et al., 2011; Barnes et al., 2017).</w:t>
      </w:r>
    </w:p>
    <w:p w14:paraId="47D530D5" w14:textId="77777777" w:rsidR="00F645F7" w:rsidRPr="008F4295" w:rsidRDefault="00F645F7" w:rsidP="00334F09">
      <w:pPr>
        <w:spacing w:line="360" w:lineRule="auto"/>
        <w:jc w:val="both"/>
        <w:rPr>
          <w:rFonts w:ascii="Arial" w:hAnsi="Arial" w:cs="Arial"/>
          <w:sz w:val="24"/>
          <w:szCs w:val="24"/>
        </w:rPr>
      </w:pPr>
      <w:r w:rsidRPr="008F4295">
        <w:rPr>
          <w:rFonts w:ascii="Arial" w:hAnsi="Arial" w:cs="Arial"/>
          <w:sz w:val="24"/>
          <w:szCs w:val="24"/>
        </w:rPr>
        <w:t xml:space="preserve">This evidence review explores the practical and conceptual challenges of outcomes measurement in SDS within the Northern Ireland context. It focuses on four core areas: how individuals value and define autonomy, choice, and control; the outcomes commonly associated with SDS in national and international evidence; the tools and frameworks available to measure these outcomes; and the key enablers and barriers </w:t>
      </w:r>
      <w:r w:rsidRPr="008F4295">
        <w:rPr>
          <w:rFonts w:ascii="Arial" w:hAnsi="Arial" w:cs="Arial"/>
          <w:sz w:val="24"/>
          <w:szCs w:val="24"/>
        </w:rPr>
        <w:lastRenderedPageBreak/>
        <w:t>to embedding outcomes tools in everyday practice. It also considers the importance of tracking implementation quality alongside outcomes.</w:t>
      </w:r>
    </w:p>
    <w:p w14:paraId="58BF2F86" w14:textId="5EEEED1A" w:rsidR="00F645F7" w:rsidRPr="008F4295" w:rsidRDefault="00F645F7" w:rsidP="00334F09">
      <w:pPr>
        <w:spacing w:line="360" w:lineRule="auto"/>
        <w:jc w:val="both"/>
        <w:rPr>
          <w:rFonts w:ascii="Arial" w:hAnsi="Arial" w:cs="Arial"/>
          <w:sz w:val="24"/>
          <w:szCs w:val="24"/>
        </w:rPr>
      </w:pPr>
      <w:r w:rsidRPr="008F4295">
        <w:rPr>
          <w:rFonts w:ascii="Arial" w:hAnsi="Arial" w:cs="Arial"/>
          <w:sz w:val="24"/>
          <w:szCs w:val="24"/>
        </w:rPr>
        <w:t>Drawing on academic research, policy literature, and examples from across the UK and beyond, the review aims to provide practical insights for those delivering and developing SDS in Northern Ireland. Its purpose is not to critique past implementation but to support future progress</w:t>
      </w:r>
      <w:r w:rsidR="000F6434" w:rsidRPr="008F4295">
        <w:rPr>
          <w:rFonts w:ascii="Arial" w:hAnsi="Arial" w:cs="Arial"/>
          <w:sz w:val="24"/>
          <w:szCs w:val="24"/>
        </w:rPr>
        <w:t xml:space="preserve">, </w:t>
      </w:r>
      <w:r w:rsidRPr="008F4295">
        <w:rPr>
          <w:rFonts w:ascii="Arial" w:hAnsi="Arial" w:cs="Arial"/>
          <w:sz w:val="24"/>
          <w:szCs w:val="24"/>
        </w:rPr>
        <w:t>ensuring that SDS delivers not only greater choice and control, but also demonstrable improvements in the lives of those who use it.</w:t>
      </w:r>
    </w:p>
    <w:p w14:paraId="43D1B41D" w14:textId="77777777" w:rsidR="0069685E" w:rsidRPr="008F4295" w:rsidRDefault="0069685E" w:rsidP="00334F09">
      <w:pPr>
        <w:pStyle w:val="Heading1"/>
        <w:jc w:val="both"/>
        <w:rPr>
          <w:sz w:val="24"/>
          <w:szCs w:val="24"/>
        </w:rPr>
      </w:pPr>
      <w:r w:rsidRPr="008F4295">
        <w:rPr>
          <w:sz w:val="24"/>
          <w:szCs w:val="24"/>
        </w:rPr>
        <w:t>The Policy Context of SDS in Northern Ireland</w:t>
      </w:r>
    </w:p>
    <w:p w14:paraId="5EF7A270" w14:textId="32CB0F67" w:rsidR="0069685E" w:rsidRPr="008F4295" w:rsidRDefault="0069685E" w:rsidP="00334F09">
      <w:pPr>
        <w:spacing w:line="360" w:lineRule="auto"/>
        <w:jc w:val="both"/>
        <w:rPr>
          <w:rFonts w:ascii="Arial" w:hAnsi="Arial" w:cs="Arial"/>
          <w:sz w:val="24"/>
          <w:szCs w:val="24"/>
        </w:rPr>
      </w:pPr>
      <w:r w:rsidRPr="008F4295">
        <w:rPr>
          <w:rFonts w:ascii="Arial" w:hAnsi="Arial" w:cs="Arial"/>
          <w:sz w:val="24"/>
          <w:szCs w:val="24"/>
        </w:rPr>
        <w:t>The policy landscape surrounding Self-Directed Support (SDS) in Northern Ireland has developed differently from other UK nations, operating without the dedicated legislation found in Scotland or Wales</w:t>
      </w:r>
      <w:r w:rsidR="000959FC" w:rsidRPr="008F4295">
        <w:rPr>
          <w:rFonts w:ascii="Arial" w:hAnsi="Arial" w:cs="Arial"/>
          <w:sz w:val="24"/>
          <w:szCs w:val="24"/>
        </w:rPr>
        <w:t xml:space="preserve"> for example</w:t>
      </w:r>
      <w:r w:rsidRPr="008F4295">
        <w:rPr>
          <w:rFonts w:ascii="Arial" w:hAnsi="Arial" w:cs="Arial"/>
          <w:sz w:val="24"/>
          <w:szCs w:val="24"/>
        </w:rPr>
        <w:t>. Unlike these nations, where SDS has been legislatively embedded as a core element of social care reform, Northern Ireland's approach has emerged through broader health and social care reforms. Initiatives such as Transforming Your Care (DHSSPS, 2011) and the Reform of Adult Social Care Consultation (</w:t>
      </w:r>
      <w:proofErr w:type="spellStart"/>
      <w:r w:rsidRPr="008F4295">
        <w:rPr>
          <w:rFonts w:ascii="Arial" w:hAnsi="Arial" w:cs="Arial"/>
          <w:sz w:val="24"/>
          <w:szCs w:val="24"/>
        </w:rPr>
        <w:t>DoH</w:t>
      </w:r>
      <w:proofErr w:type="spellEnd"/>
      <w:r w:rsidRPr="008F4295">
        <w:rPr>
          <w:rFonts w:ascii="Arial" w:hAnsi="Arial" w:cs="Arial"/>
          <w:sz w:val="24"/>
          <w:szCs w:val="24"/>
        </w:rPr>
        <w:t xml:space="preserve"> NI, 2022) have endorsed the principle of personalisation while stopping short of defining specific legal rights, operational standards, or funding guarantees (Chapman, 2020). This has resulted in a framework characterized by ambiguity and variation in implementation, potentially limiting the transfer of power and choice to </w:t>
      </w:r>
      <w:r w:rsidR="004E7BD7" w:rsidRPr="008F4295">
        <w:rPr>
          <w:rFonts w:ascii="Arial" w:hAnsi="Arial" w:cs="Arial"/>
          <w:sz w:val="24"/>
          <w:szCs w:val="24"/>
        </w:rPr>
        <w:t>people who draw on care and support</w:t>
      </w:r>
      <w:r w:rsidRPr="008F4295">
        <w:rPr>
          <w:rFonts w:ascii="Arial" w:hAnsi="Arial" w:cs="Arial"/>
          <w:sz w:val="24"/>
          <w:szCs w:val="24"/>
        </w:rPr>
        <w:t xml:space="preserve"> (Chapman, 2020).</w:t>
      </w:r>
      <w:r w:rsidR="00EC50DC" w:rsidRPr="008F4295">
        <w:rPr>
          <w:rFonts w:ascii="Arial" w:hAnsi="Arial" w:cs="Arial"/>
          <w:sz w:val="24"/>
          <w:szCs w:val="24"/>
        </w:rPr>
        <w:t xml:space="preserve"> Critically, this legislative gap has profound implications for equality. Without a robust statutory framework that explicitly embeds equality duties, the implementation of SDS risks becoming inconsistent across different demographic groups and geographical areas, potentially exacerbating existing health inequalities and failing to meet the specific requirements of Section 75 of the Northern Ireland Act 1998, which mandates public authorities to promote equality of opportunity across nine protected categories including religious belief, political opinion, race, age, marital status, sexual orientation, gender, disability, and dependant status (Northern Ireland Act, 1998).</w:t>
      </w:r>
    </w:p>
    <w:p w14:paraId="5D1F7DB9" w14:textId="3971B423" w:rsidR="0069685E" w:rsidRPr="008F4295" w:rsidRDefault="0069685E" w:rsidP="00334F09">
      <w:pPr>
        <w:spacing w:line="360" w:lineRule="auto"/>
        <w:jc w:val="both"/>
        <w:rPr>
          <w:rFonts w:ascii="Arial" w:hAnsi="Arial" w:cs="Arial"/>
          <w:sz w:val="24"/>
          <w:szCs w:val="24"/>
        </w:rPr>
      </w:pPr>
      <w:r w:rsidRPr="008F4295">
        <w:rPr>
          <w:rFonts w:ascii="Arial" w:hAnsi="Arial" w:cs="Arial"/>
          <w:sz w:val="24"/>
          <w:szCs w:val="24"/>
        </w:rPr>
        <w:t>Despite these structural challenges, Health and Social Care (HSC) Trusts have made concerted efforts to align with personalisation agendas elsewhere in the UK by offering a range of support options. As of 2023, four distinct models of SDS are available</w:t>
      </w:r>
      <w:r w:rsidR="003A6A84" w:rsidRPr="008F4295">
        <w:rPr>
          <w:rFonts w:ascii="Arial" w:hAnsi="Arial" w:cs="Arial"/>
          <w:sz w:val="24"/>
          <w:szCs w:val="24"/>
        </w:rPr>
        <w:t xml:space="preserve"> in </w:t>
      </w:r>
      <w:r w:rsidR="003A6A84" w:rsidRPr="008F4295">
        <w:rPr>
          <w:rFonts w:ascii="Arial" w:hAnsi="Arial" w:cs="Arial"/>
          <w:sz w:val="24"/>
          <w:szCs w:val="24"/>
        </w:rPr>
        <w:lastRenderedPageBreak/>
        <w:t>Northern Ireland</w:t>
      </w:r>
      <w:r w:rsidRPr="008F4295">
        <w:rPr>
          <w:rFonts w:ascii="Arial" w:hAnsi="Arial" w:cs="Arial"/>
          <w:sz w:val="24"/>
          <w:szCs w:val="24"/>
        </w:rPr>
        <w:t xml:space="preserve">, offering varying degrees of user control. Direct Payments provide maximum autonomy through cash allocations, enabling individuals to purchase services or employ Personal Assistants directly, though this places administrative responsibilities on users (Hughes, 2024). Managed Budgets represent an important alternative, with the Trust or </w:t>
      </w:r>
      <w:proofErr w:type="gramStart"/>
      <w:r w:rsidRPr="008F4295">
        <w:rPr>
          <w:rFonts w:ascii="Arial" w:hAnsi="Arial" w:cs="Arial"/>
          <w:sz w:val="24"/>
          <w:szCs w:val="24"/>
        </w:rPr>
        <w:t>a third</w:t>
      </w:r>
      <w:r w:rsidR="00704B46" w:rsidRPr="008F4295">
        <w:rPr>
          <w:rFonts w:ascii="Arial" w:hAnsi="Arial" w:cs="Arial"/>
          <w:sz w:val="24"/>
          <w:szCs w:val="24"/>
        </w:rPr>
        <w:t>-</w:t>
      </w:r>
      <w:r w:rsidRPr="008F4295">
        <w:rPr>
          <w:rFonts w:ascii="Arial" w:hAnsi="Arial" w:cs="Arial"/>
          <w:sz w:val="24"/>
          <w:szCs w:val="24"/>
        </w:rPr>
        <w:t>party holding funds</w:t>
      </w:r>
      <w:proofErr w:type="gramEnd"/>
      <w:r w:rsidRPr="008F4295">
        <w:rPr>
          <w:rFonts w:ascii="Arial" w:hAnsi="Arial" w:cs="Arial"/>
          <w:sz w:val="24"/>
          <w:szCs w:val="24"/>
        </w:rPr>
        <w:t xml:space="preserve"> while the </w:t>
      </w:r>
      <w:r w:rsidR="0017152F">
        <w:rPr>
          <w:rFonts w:ascii="Arial" w:hAnsi="Arial" w:cs="Arial"/>
          <w:sz w:val="24"/>
          <w:szCs w:val="24"/>
        </w:rPr>
        <w:t>person using services</w:t>
      </w:r>
      <w:r w:rsidRPr="008F4295">
        <w:rPr>
          <w:rFonts w:ascii="Arial" w:hAnsi="Arial" w:cs="Arial"/>
          <w:sz w:val="24"/>
          <w:szCs w:val="24"/>
        </w:rPr>
        <w:t xml:space="preserve"> retains control over how they are spent, thereby balancing autonomy with practical support (Hughes, 2024).</w:t>
      </w:r>
    </w:p>
    <w:p w14:paraId="05178988" w14:textId="77777777" w:rsidR="00000592" w:rsidRPr="008F4295" w:rsidRDefault="0069685E" w:rsidP="00334F09">
      <w:pPr>
        <w:spacing w:line="360" w:lineRule="auto"/>
        <w:jc w:val="both"/>
        <w:rPr>
          <w:rFonts w:ascii="Arial" w:hAnsi="Arial" w:cs="Arial"/>
          <w:sz w:val="24"/>
          <w:szCs w:val="24"/>
        </w:rPr>
      </w:pPr>
      <w:r w:rsidRPr="008F4295">
        <w:rPr>
          <w:rFonts w:ascii="Arial" w:hAnsi="Arial" w:cs="Arial"/>
          <w:sz w:val="24"/>
          <w:szCs w:val="24"/>
        </w:rPr>
        <w:t>For those preferring traditional arrangements, Trust Arranged Services remain available, offering predictability though limiting personal control. Additionally, a Mixed Approach allows combination of elements from different models, acknowledging the diverse needs of the population and moving beyond a uniform system.</w:t>
      </w:r>
      <w:r w:rsidR="00EC50DC" w:rsidRPr="008F4295">
        <w:rPr>
          <w:rFonts w:ascii="Arial" w:hAnsi="Arial" w:cs="Arial"/>
          <w:sz w:val="24"/>
          <w:szCs w:val="24"/>
        </w:rPr>
        <w:t xml:space="preserve"> This flexibility is particularly important in Northern Ireland's context, where diverse cultural attitudes toward care and different levels of trust in statutory services exist across communities</w:t>
      </w:r>
      <w:r w:rsidR="00FA4AE7" w:rsidRPr="008F4295">
        <w:rPr>
          <w:rFonts w:ascii="Arial" w:hAnsi="Arial" w:cs="Arial"/>
          <w:sz w:val="24"/>
          <w:szCs w:val="24"/>
        </w:rPr>
        <w:t xml:space="preserve"> </w:t>
      </w:r>
      <w:r w:rsidR="002363AE" w:rsidRPr="008F4295">
        <w:rPr>
          <w:rFonts w:ascii="Arial" w:hAnsi="Arial" w:cs="Arial"/>
          <w:sz w:val="24"/>
          <w:szCs w:val="24"/>
        </w:rPr>
        <w:t xml:space="preserve">(Hughes,2024; Chapman, </w:t>
      </w:r>
      <w:r w:rsidR="005A39A0" w:rsidRPr="008F4295">
        <w:rPr>
          <w:rFonts w:ascii="Arial" w:hAnsi="Arial" w:cs="Arial"/>
          <w:sz w:val="24"/>
          <w:szCs w:val="24"/>
        </w:rPr>
        <w:t>2018)</w:t>
      </w:r>
      <w:r w:rsidR="00EC50DC" w:rsidRPr="008F4295">
        <w:rPr>
          <w:rFonts w:ascii="Arial" w:hAnsi="Arial" w:cs="Arial"/>
          <w:sz w:val="24"/>
          <w:szCs w:val="24"/>
        </w:rPr>
        <w:t xml:space="preserve">. </w:t>
      </w:r>
      <w:r w:rsidR="003A0E51" w:rsidRPr="008F4295">
        <w:rPr>
          <w:rFonts w:ascii="Arial" w:hAnsi="Arial" w:cs="Arial"/>
          <w:sz w:val="24"/>
          <w:szCs w:val="24"/>
        </w:rPr>
        <w:t>A genuinely inclusive Self-directed Support (SDS) system must acknowledge that preferences for control vary across Section 75 groups and ensure traditional service options are not under-resourced or of inferior quality, thereby preventing a discriminatory two-tier system (Health and Social Care Board, 2015).</w:t>
      </w:r>
    </w:p>
    <w:p w14:paraId="229C9C1F" w14:textId="6FC88DF8" w:rsidR="0069685E" w:rsidRPr="008F4295" w:rsidRDefault="0069685E" w:rsidP="00334F09">
      <w:pPr>
        <w:spacing w:line="360" w:lineRule="auto"/>
        <w:jc w:val="both"/>
        <w:rPr>
          <w:rFonts w:ascii="Arial" w:hAnsi="Arial" w:cs="Arial"/>
          <w:sz w:val="24"/>
          <w:szCs w:val="24"/>
        </w:rPr>
      </w:pPr>
      <w:r w:rsidRPr="008F4295">
        <w:rPr>
          <w:rFonts w:ascii="Arial" w:hAnsi="Arial" w:cs="Arial"/>
          <w:sz w:val="24"/>
          <w:szCs w:val="24"/>
        </w:rPr>
        <w:t xml:space="preserve">Nevertheless, the absence of a statutory SDS framework creates significant implementation challenges (Hughes, 2024; Duffy et al., 2015). Without clear legislation or binding guidance, application of these models varies considerably across Northern Ireland's six HSC Trusts, leading to inconsistencies in access, support planning, and outcomes. This variability creates frustrations for </w:t>
      </w:r>
      <w:r w:rsidR="00E15C9C" w:rsidRPr="008F4295">
        <w:rPr>
          <w:rFonts w:ascii="Arial" w:hAnsi="Arial" w:cs="Arial"/>
          <w:sz w:val="24"/>
          <w:szCs w:val="24"/>
        </w:rPr>
        <w:t>people who draw on care and support</w:t>
      </w:r>
      <w:r w:rsidRPr="008F4295">
        <w:rPr>
          <w:rFonts w:ascii="Arial" w:hAnsi="Arial" w:cs="Arial"/>
          <w:sz w:val="24"/>
          <w:szCs w:val="24"/>
        </w:rPr>
        <w:t xml:space="preserve"> and operational challenges for professionals, compounded by reports of insufficient information, advocacy, and planning support for </w:t>
      </w:r>
      <w:r w:rsidR="009A7D26">
        <w:rPr>
          <w:rFonts w:ascii="Arial" w:hAnsi="Arial" w:cs="Arial"/>
          <w:sz w:val="24"/>
          <w:szCs w:val="24"/>
        </w:rPr>
        <w:t>people who draw on care and support</w:t>
      </w:r>
      <w:r w:rsidRPr="008F4295">
        <w:rPr>
          <w:rFonts w:ascii="Arial" w:hAnsi="Arial" w:cs="Arial"/>
          <w:sz w:val="24"/>
          <w:szCs w:val="24"/>
        </w:rPr>
        <w:t>, alongside practitioners facing high caseloads and inadequate training (Gray and Horgan, 2010; Chapman, 2020; Duffy et al., 2015).</w:t>
      </w:r>
      <w:r w:rsidR="00EC50DC" w:rsidRPr="008F4295">
        <w:rPr>
          <w:rFonts w:ascii="Arial" w:hAnsi="Arial" w:cs="Arial"/>
          <w:sz w:val="24"/>
          <w:szCs w:val="24"/>
        </w:rPr>
        <w:t xml:space="preserve"> </w:t>
      </w:r>
    </w:p>
    <w:p w14:paraId="6D1E257B" w14:textId="585AD842" w:rsidR="0069685E" w:rsidRPr="008F4295" w:rsidRDefault="0069685E" w:rsidP="00334F09">
      <w:pPr>
        <w:spacing w:line="360" w:lineRule="auto"/>
        <w:jc w:val="both"/>
        <w:rPr>
          <w:rFonts w:ascii="Arial" w:hAnsi="Arial" w:cs="Arial"/>
          <w:sz w:val="24"/>
          <w:szCs w:val="24"/>
        </w:rPr>
      </w:pPr>
      <w:r w:rsidRPr="008F4295">
        <w:rPr>
          <w:rFonts w:ascii="Arial" w:hAnsi="Arial" w:cs="Arial"/>
          <w:sz w:val="24"/>
          <w:szCs w:val="24"/>
        </w:rPr>
        <w:t xml:space="preserve">Comparatively, other UK nations have developed more comprehensive policy approaches. Scotland's Social Care (Self-directed Support) (Scotland) Act 2013 established a legal right to direct care, supported by statutory duties and implementation strategies (Manthorpe et al., 2015). Wales embedded SDS within the </w:t>
      </w:r>
      <w:r w:rsidRPr="008F4295">
        <w:rPr>
          <w:rFonts w:ascii="Arial" w:hAnsi="Arial" w:cs="Arial"/>
          <w:sz w:val="24"/>
          <w:szCs w:val="24"/>
        </w:rPr>
        <w:lastRenderedPageBreak/>
        <w:t>Social Services and Well-being (Wales) Act 2014, making it a guiding principle for all social care practice focused on well-being and co-production (Doheny and Milbourne, 2013).</w:t>
      </w:r>
      <w:r w:rsidR="00EC50DC" w:rsidRPr="008F4295">
        <w:rPr>
          <w:rFonts w:ascii="Arial" w:hAnsi="Arial" w:cs="Arial"/>
          <w:sz w:val="24"/>
          <w:szCs w:val="24"/>
        </w:rPr>
        <w:t xml:space="preserve"> These legislative approaches explicitly connect personalisation with equality duties, creating a stronger foundation for ensuring that SDS implementation actively addresses rather than exacerbates existing inequalities</w:t>
      </w:r>
      <w:r w:rsidR="007012DB" w:rsidRPr="008F4295">
        <w:rPr>
          <w:rFonts w:ascii="Arial" w:hAnsi="Arial" w:cs="Arial"/>
          <w:sz w:val="24"/>
          <w:szCs w:val="24"/>
        </w:rPr>
        <w:t xml:space="preserve">, </w:t>
      </w:r>
      <w:r w:rsidR="00EC50DC" w:rsidRPr="008F4295">
        <w:rPr>
          <w:rFonts w:ascii="Arial" w:hAnsi="Arial" w:cs="Arial"/>
          <w:sz w:val="24"/>
          <w:szCs w:val="24"/>
        </w:rPr>
        <w:t>a lesson particularly relevant for Northern Ireland given its unique history of division and inequality</w:t>
      </w:r>
      <w:r w:rsidR="00D54D4B" w:rsidRPr="008F4295">
        <w:rPr>
          <w:rFonts w:ascii="Arial" w:hAnsi="Arial" w:cs="Arial"/>
          <w:sz w:val="24"/>
          <w:szCs w:val="24"/>
        </w:rPr>
        <w:t xml:space="preserve"> (Hughes, 2024; Chapman, 2018; </w:t>
      </w:r>
      <w:r w:rsidR="00124FE8" w:rsidRPr="008F4295">
        <w:rPr>
          <w:rFonts w:ascii="Arial" w:hAnsi="Arial" w:cs="Arial"/>
          <w:sz w:val="24"/>
          <w:szCs w:val="24"/>
        </w:rPr>
        <w:t>Gray and Horgan, 2010)</w:t>
      </w:r>
      <w:r w:rsidR="00EC50DC" w:rsidRPr="008F4295">
        <w:rPr>
          <w:rFonts w:ascii="Arial" w:hAnsi="Arial" w:cs="Arial"/>
          <w:sz w:val="24"/>
          <w:szCs w:val="24"/>
        </w:rPr>
        <w:t>.</w:t>
      </w:r>
    </w:p>
    <w:p w14:paraId="3890BFD1" w14:textId="6756FEE0" w:rsidR="0069685E" w:rsidRPr="008F4295" w:rsidRDefault="000B1CAE" w:rsidP="00334F09">
      <w:pPr>
        <w:spacing w:line="360" w:lineRule="auto"/>
        <w:jc w:val="both"/>
        <w:rPr>
          <w:rFonts w:ascii="Arial" w:hAnsi="Arial" w:cs="Arial"/>
          <w:sz w:val="24"/>
          <w:szCs w:val="24"/>
        </w:rPr>
      </w:pPr>
      <w:r w:rsidRPr="000B1CAE">
        <w:rPr>
          <w:rFonts w:ascii="Arial" w:hAnsi="Arial" w:cs="Arial"/>
          <w:sz w:val="24"/>
          <w:szCs w:val="24"/>
        </w:rPr>
        <w:t>In England, Self-Directed Support (SDS) was established under the Care Act 2014, giving eligible individuals the right to a personal budget. Progress has slowed in recent years, with wide variation in how support is delivered across local areas.</w:t>
      </w:r>
      <w:r w:rsidR="00926934" w:rsidRPr="008F4295">
        <w:rPr>
          <w:rFonts w:ascii="Arial" w:hAnsi="Arial" w:cs="Arial"/>
          <w:sz w:val="24"/>
          <w:szCs w:val="24"/>
        </w:rPr>
        <w:t xml:space="preserve"> </w:t>
      </w:r>
      <w:r w:rsidRPr="000B1CAE">
        <w:rPr>
          <w:rFonts w:ascii="Arial" w:hAnsi="Arial" w:cs="Arial"/>
          <w:sz w:val="24"/>
          <w:szCs w:val="24"/>
        </w:rPr>
        <w:t>Individual Service Funds (ISFs) are an approach</w:t>
      </w:r>
      <w:r w:rsidR="0079028D">
        <w:rPr>
          <w:rFonts w:ascii="Arial" w:hAnsi="Arial" w:cs="Arial"/>
          <w:sz w:val="24"/>
          <w:szCs w:val="24"/>
        </w:rPr>
        <w:t xml:space="preserve"> in England</w:t>
      </w:r>
      <w:r w:rsidRPr="000B1CAE">
        <w:rPr>
          <w:rFonts w:ascii="Arial" w:hAnsi="Arial" w:cs="Arial"/>
          <w:sz w:val="24"/>
          <w:szCs w:val="24"/>
        </w:rPr>
        <w:t xml:space="preserve"> that combine the flexibility of Direct Payments with the security of provider-managed services. Despite their potential, ISFs are not yet widely available, and implementation remains patchy</w:t>
      </w:r>
      <w:r w:rsidR="00ED64D4">
        <w:rPr>
          <w:rFonts w:ascii="Arial" w:hAnsi="Arial" w:cs="Arial"/>
          <w:sz w:val="24"/>
          <w:szCs w:val="24"/>
        </w:rPr>
        <w:t xml:space="preserve"> (TLAP, 2015; </w:t>
      </w:r>
      <w:r w:rsidR="00D57E16">
        <w:rPr>
          <w:rFonts w:ascii="Arial" w:hAnsi="Arial" w:cs="Arial"/>
          <w:sz w:val="24"/>
          <w:szCs w:val="24"/>
        </w:rPr>
        <w:t>see also Miller and Sanderson, 2014)</w:t>
      </w:r>
      <w:r w:rsidRPr="000B1CAE">
        <w:rPr>
          <w:rFonts w:ascii="Arial" w:hAnsi="Arial" w:cs="Arial"/>
          <w:sz w:val="24"/>
          <w:szCs w:val="24"/>
        </w:rPr>
        <w:t>.</w:t>
      </w:r>
      <w:r w:rsidR="000B4861" w:rsidRPr="008F4295">
        <w:rPr>
          <w:rFonts w:ascii="Arial" w:hAnsi="Arial" w:cs="Arial"/>
          <w:sz w:val="24"/>
          <w:szCs w:val="24"/>
        </w:rPr>
        <w:t xml:space="preserve"> </w:t>
      </w:r>
      <w:r w:rsidR="00381F9E">
        <w:rPr>
          <w:rFonts w:ascii="Arial" w:hAnsi="Arial" w:cs="Arial"/>
          <w:sz w:val="24"/>
          <w:szCs w:val="24"/>
        </w:rPr>
        <w:t>Recently t</w:t>
      </w:r>
      <w:r w:rsidRPr="000B1CAE">
        <w:rPr>
          <w:rFonts w:ascii="Arial" w:hAnsi="Arial" w:cs="Arial"/>
          <w:sz w:val="24"/>
          <w:szCs w:val="24"/>
        </w:rPr>
        <w:t xml:space="preserve">he </w:t>
      </w:r>
      <w:r w:rsidR="000B4861" w:rsidRPr="008F4295">
        <w:rPr>
          <w:rFonts w:ascii="Arial" w:hAnsi="Arial" w:cs="Arial"/>
          <w:sz w:val="24"/>
          <w:szCs w:val="24"/>
        </w:rPr>
        <w:t xml:space="preserve">NIHR funded </w:t>
      </w:r>
      <w:r w:rsidRPr="000B1CAE">
        <w:rPr>
          <w:rFonts w:ascii="Arial" w:hAnsi="Arial" w:cs="Arial"/>
          <w:sz w:val="24"/>
          <w:szCs w:val="24"/>
        </w:rPr>
        <w:t xml:space="preserve">EQUAL-D project is taking an innovative approach to change this. By working directly with local authorities, providers, people with learning disabilities and their families, it </w:t>
      </w:r>
      <w:r w:rsidR="0062517E" w:rsidRPr="008F4295">
        <w:rPr>
          <w:rFonts w:ascii="Arial" w:hAnsi="Arial" w:cs="Arial"/>
          <w:sz w:val="24"/>
          <w:szCs w:val="24"/>
        </w:rPr>
        <w:t>aims to</w:t>
      </w:r>
      <w:r w:rsidRPr="000B1CAE">
        <w:rPr>
          <w:rFonts w:ascii="Arial" w:hAnsi="Arial" w:cs="Arial"/>
          <w:sz w:val="24"/>
          <w:szCs w:val="24"/>
        </w:rPr>
        <w:t xml:space="preserve"> co-produce practical resources that support the confident use of ISFs. These tools will help professionals deliver ISFs consistently, while giving individuals and families the knowledge and confidence to make the most of them in everyday life.</w:t>
      </w:r>
    </w:p>
    <w:p w14:paraId="035E2CD3" w14:textId="410638F3" w:rsidR="00EC50DC" w:rsidRPr="008F4295" w:rsidRDefault="0069685E" w:rsidP="00EC50DC">
      <w:pPr>
        <w:spacing w:line="360" w:lineRule="auto"/>
        <w:jc w:val="both"/>
        <w:rPr>
          <w:rFonts w:ascii="Arial" w:hAnsi="Arial" w:cs="Arial"/>
          <w:sz w:val="24"/>
          <w:szCs w:val="24"/>
        </w:rPr>
      </w:pPr>
      <w:r w:rsidRPr="008F4295">
        <w:rPr>
          <w:rFonts w:ascii="Arial" w:hAnsi="Arial" w:cs="Arial"/>
          <w:sz w:val="24"/>
          <w:szCs w:val="24"/>
        </w:rPr>
        <w:t>In Northern Ireland, despite the absence of dedicated legislation, progress continues through practical implementation efforts. The available SDS options mirror the flexibility found elsewhere in the UK, and recent initiatives show growing commitment to improving SDS delivery. However, the lack of legislative clarity and coordinated implementation strategy means delivery remains inconsistent and dependent on local interpretation (</w:t>
      </w:r>
      <w:r w:rsidR="00D51C0F" w:rsidRPr="008F4295">
        <w:rPr>
          <w:rFonts w:ascii="Arial" w:hAnsi="Arial" w:cs="Arial"/>
          <w:sz w:val="24"/>
          <w:szCs w:val="24"/>
        </w:rPr>
        <w:t xml:space="preserve">Chapman, 2018; </w:t>
      </w:r>
      <w:r w:rsidRPr="008F4295">
        <w:rPr>
          <w:rFonts w:ascii="Arial" w:hAnsi="Arial" w:cs="Arial"/>
          <w:sz w:val="24"/>
          <w:szCs w:val="24"/>
        </w:rPr>
        <w:t>Duffy et al., 2015). This situation presents both challenges and opportunities for developing SDS in a way that responds to Northern Ireland's specific context, with potential for further development of implementation infrastructure and support systems to realise the full potential of personalised care.</w:t>
      </w:r>
      <w:r w:rsidR="00EC50DC" w:rsidRPr="008F4295">
        <w:rPr>
          <w:rFonts w:ascii="Arial" w:hAnsi="Arial" w:cs="Arial"/>
          <w:sz w:val="24"/>
          <w:szCs w:val="24"/>
        </w:rPr>
        <w:t xml:space="preserve"> </w:t>
      </w:r>
      <w:r w:rsidR="00A9120F" w:rsidRPr="008F4295">
        <w:rPr>
          <w:rFonts w:ascii="Arial" w:hAnsi="Arial" w:cs="Arial"/>
          <w:sz w:val="24"/>
          <w:szCs w:val="24"/>
        </w:rPr>
        <w:t>T</w:t>
      </w:r>
      <w:r w:rsidR="00EC50DC" w:rsidRPr="008F4295">
        <w:rPr>
          <w:rFonts w:ascii="Arial" w:hAnsi="Arial" w:cs="Arial"/>
          <w:sz w:val="24"/>
          <w:szCs w:val="24"/>
        </w:rPr>
        <w:t xml:space="preserve">he opportunity is that Northern Ireland can learn from other jurisdictions and deliberately design an SDS system that from the outset embeds EDI principles through co-production with diverse communities, targeted support for those facing greatest </w:t>
      </w:r>
      <w:r w:rsidR="00EC50DC" w:rsidRPr="008F4295">
        <w:rPr>
          <w:rFonts w:ascii="Arial" w:hAnsi="Arial" w:cs="Arial"/>
          <w:sz w:val="24"/>
          <w:szCs w:val="24"/>
        </w:rPr>
        <w:lastRenderedPageBreak/>
        <w:t xml:space="preserve">barriers, and robust monitoring of outcomes across equality categories. Making equality central to SDS development would not only meet statutory requirements but would also ensure that personalisation </w:t>
      </w:r>
      <w:r w:rsidR="0032056B" w:rsidRPr="008F4295">
        <w:rPr>
          <w:rFonts w:ascii="Arial" w:hAnsi="Arial" w:cs="Arial"/>
          <w:sz w:val="24"/>
          <w:szCs w:val="24"/>
        </w:rPr>
        <w:t>fulfils</w:t>
      </w:r>
      <w:r w:rsidR="00EC50DC" w:rsidRPr="008F4295">
        <w:rPr>
          <w:rFonts w:ascii="Arial" w:hAnsi="Arial" w:cs="Arial"/>
          <w:sz w:val="24"/>
          <w:szCs w:val="24"/>
        </w:rPr>
        <w:t xml:space="preserve"> its promise of transforming social care for all citizens, particularly those most marginali</w:t>
      </w:r>
      <w:r w:rsidR="00820950">
        <w:rPr>
          <w:rFonts w:ascii="Arial" w:hAnsi="Arial" w:cs="Arial"/>
          <w:sz w:val="24"/>
          <w:szCs w:val="24"/>
        </w:rPr>
        <w:t>s</w:t>
      </w:r>
      <w:r w:rsidR="00EC50DC" w:rsidRPr="008F4295">
        <w:rPr>
          <w:rFonts w:ascii="Arial" w:hAnsi="Arial" w:cs="Arial"/>
          <w:sz w:val="24"/>
          <w:szCs w:val="24"/>
        </w:rPr>
        <w:t>ed in current systems.</w:t>
      </w:r>
    </w:p>
    <w:p w14:paraId="7ACFA472" w14:textId="6AB380B9" w:rsidR="00AA3E5F" w:rsidRPr="008F4295" w:rsidRDefault="00AA3E5F" w:rsidP="00EC50DC">
      <w:pPr>
        <w:pStyle w:val="Heading2"/>
        <w:rPr>
          <w:szCs w:val="24"/>
        </w:rPr>
      </w:pPr>
      <w:r w:rsidRPr="008F4295">
        <w:rPr>
          <w:szCs w:val="24"/>
        </w:rPr>
        <w:t>Why This Review Matters</w:t>
      </w:r>
    </w:p>
    <w:p w14:paraId="0AE4A07B" w14:textId="77777777" w:rsidR="00AA3E5F" w:rsidRPr="008F4295" w:rsidRDefault="00AA3E5F" w:rsidP="00334F09">
      <w:pPr>
        <w:spacing w:line="360" w:lineRule="auto"/>
        <w:jc w:val="both"/>
        <w:rPr>
          <w:rFonts w:ascii="Arial" w:hAnsi="Arial" w:cs="Arial"/>
          <w:sz w:val="24"/>
          <w:szCs w:val="24"/>
        </w:rPr>
      </w:pPr>
      <w:r w:rsidRPr="008F4295">
        <w:rPr>
          <w:rFonts w:ascii="Arial" w:hAnsi="Arial" w:cs="Arial"/>
          <w:sz w:val="24"/>
          <w:szCs w:val="24"/>
        </w:rPr>
        <w:t>This review addresses a crucial gap in Northern Ireland's social care landscape by focusing on the measurement of outcomes within Self-Directed Support (SDS). While significant progress has been made in implementing SDS options, the current system lacks robust mechanisms to capture whether these approaches genuinely deliver meaningful improvements in people's lives. Understanding what constitutes meaningful outcomes from the perspective of those using services is fundamental to designing effective policies and commissioning arrangements that truly reflect user priorities.</w:t>
      </w:r>
    </w:p>
    <w:p w14:paraId="7FED33EB" w14:textId="77777777" w:rsidR="00AA3E5F" w:rsidRPr="008F4295" w:rsidRDefault="00AA3E5F" w:rsidP="00334F09">
      <w:pPr>
        <w:spacing w:line="360" w:lineRule="auto"/>
        <w:jc w:val="both"/>
        <w:rPr>
          <w:rFonts w:ascii="Arial" w:hAnsi="Arial" w:cs="Arial"/>
          <w:sz w:val="24"/>
          <w:szCs w:val="24"/>
        </w:rPr>
      </w:pPr>
      <w:r w:rsidRPr="008F4295">
        <w:rPr>
          <w:rFonts w:ascii="Arial" w:hAnsi="Arial" w:cs="Arial"/>
          <w:sz w:val="24"/>
          <w:szCs w:val="24"/>
        </w:rPr>
        <w:t>Research consistently demonstrates that individuals value control over daily routines, choice of carers, and flexibility in spending decisions (Manthorpe et al., 2015). However, existing systems often struggle to measure whether these valued aspects are being achieved in practice. The challenge is particularly acute in personalised support models like SDS, where traditional output-focused metrics fail to capture individual experiences of autonomy and quality of life.</w:t>
      </w:r>
    </w:p>
    <w:p w14:paraId="49EDC923" w14:textId="77777777" w:rsidR="00AA3E5F" w:rsidRPr="008F4295" w:rsidRDefault="00AA3E5F" w:rsidP="00334F09">
      <w:pPr>
        <w:spacing w:line="360" w:lineRule="auto"/>
        <w:jc w:val="both"/>
        <w:rPr>
          <w:rFonts w:ascii="Arial" w:hAnsi="Arial" w:cs="Arial"/>
          <w:sz w:val="24"/>
          <w:szCs w:val="24"/>
        </w:rPr>
      </w:pPr>
      <w:r w:rsidRPr="008F4295">
        <w:rPr>
          <w:rFonts w:ascii="Arial" w:hAnsi="Arial" w:cs="Arial"/>
          <w:sz w:val="24"/>
          <w:szCs w:val="24"/>
        </w:rPr>
        <w:t>Northern Ireland faces specific measurement challenges that this review seeks to address. While frameworks such as the Adult Social Care Outcomes Toolkit (ASCOT) and Scotland's Personal Outcomes Evaluation Tool (POET) exist, their applicability within Northern Ireland's integrated health and social care context requires careful examination. Furthermore, implementing outcome measurement requires addressing practical considerations including workforce readiness, digital infrastructure requirements, and cultural attitudes toward measurement and accountability.</w:t>
      </w:r>
    </w:p>
    <w:p w14:paraId="424A2CD7" w14:textId="77777777" w:rsidR="00AA3E5F" w:rsidRPr="008F4295" w:rsidRDefault="00AA3E5F" w:rsidP="00334F09">
      <w:pPr>
        <w:spacing w:line="360" w:lineRule="auto"/>
        <w:jc w:val="both"/>
        <w:rPr>
          <w:rFonts w:ascii="Arial" w:hAnsi="Arial" w:cs="Arial"/>
          <w:sz w:val="24"/>
          <w:szCs w:val="24"/>
        </w:rPr>
      </w:pPr>
      <w:r w:rsidRPr="008F4295">
        <w:rPr>
          <w:rFonts w:ascii="Arial" w:hAnsi="Arial" w:cs="Arial"/>
          <w:sz w:val="24"/>
          <w:szCs w:val="24"/>
        </w:rPr>
        <w:t xml:space="preserve">This review matters because it seeks to move beyond simply counting services delivered to understanding the difference these services make to people's lives. By identifying appropriate outcome measures and implementation strategies, this work </w:t>
      </w:r>
      <w:r w:rsidRPr="008F4295">
        <w:rPr>
          <w:rFonts w:ascii="Arial" w:hAnsi="Arial" w:cs="Arial"/>
          <w:sz w:val="24"/>
          <w:szCs w:val="24"/>
        </w:rPr>
        <w:lastRenderedPageBreak/>
        <w:t>supports the development of a more responsive and accountable SDS system that can demonstrate its value to service users, practitioners, and commissioners alike.</w:t>
      </w:r>
    </w:p>
    <w:p w14:paraId="32A707E0" w14:textId="77777777" w:rsidR="00AA3E5F" w:rsidRPr="00155904" w:rsidRDefault="00AA3E5F" w:rsidP="00155904">
      <w:pPr>
        <w:pStyle w:val="Heading3"/>
      </w:pPr>
      <w:r w:rsidRPr="00155904">
        <w:t>Research Objectives</w:t>
      </w:r>
    </w:p>
    <w:p w14:paraId="4CE5F910" w14:textId="77777777" w:rsidR="00AA3E5F" w:rsidRPr="008F4295" w:rsidRDefault="00AA3E5F" w:rsidP="00334F09">
      <w:pPr>
        <w:spacing w:line="360" w:lineRule="auto"/>
        <w:jc w:val="both"/>
        <w:rPr>
          <w:rFonts w:ascii="Arial" w:hAnsi="Arial" w:cs="Arial"/>
          <w:sz w:val="24"/>
          <w:szCs w:val="24"/>
        </w:rPr>
      </w:pPr>
      <w:r w:rsidRPr="008F4295">
        <w:rPr>
          <w:rFonts w:ascii="Arial" w:hAnsi="Arial" w:cs="Arial"/>
          <w:sz w:val="24"/>
          <w:szCs w:val="24"/>
        </w:rPr>
        <w:t>This review synthesises evidence to address four key questions:</w:t>
      </w:r>
    </w:p>
    <w:p w14:paraId="2D90A8BD" w14:textId="3EC6FDE0" w:rsidR="00AA3E5F" w:rsidRPr="008F4295" w:rsidRDefault="00AA3E5F" w:rsidP="00334F09">
      <w:pPr>
        <w:numPr>
          <w:ilvl w:val="0"/>
          <w:numId w:val="26"/>
        </w:numPr>
        <w:spacing w:line="360" w:lineRule="auto"/>
        <w:jc w:val="both"/>
        <w:rPr>
          <w:rFonts w:ascii="Arial" w:hAnsi="Arial" w:cs="Arial"/>
          <w:sz w:val="24"/>
          <w:szCs w:val="24"/>
        </w:rPr>
      </w:pPr>
      <w:r w:rsidRPr="008F4295">
        <w:rPr>
          <w:rFonts w:ascii="Arial" w:hAnsi="Arial" w:cs="Arial"/>
          <w:sz w:val="24"/>
          <w:szCs w:val="24"/>
        </w:rPr>
        <w:t>What aspects of autonomy, choice, and control do individuals value most in SDS across the UK and Internationally</w:t>
      </w:r>
      <w:r w:rsidR="00704B46" w:rsidRPr="008F4295">
        <w:rPr>
          <w:rFonts w:ascii="Arial" w:hAnsi="Arial" w:cs="Arial"/>
          <w:sz w:val="24"/>
          <w:szCs w:val="24"/>
        </w:rPr>
        <w:t>.</w:t>
      </w:r>
    </w:p>
    <w:p w14:paraId="21A630E8" w14:textId="77777777" w:rsidR="00AA3E5F" w:rsidRPr="008F4295" w:rsidRDefault="00AA3E5F" w:rsidP="00334F09">
      <w:pPr>
        <w:numPr>
          <w:ilvl w:val="0"/>
          <w:numId w:val="26"/>
        </w:numPr>
        <w:spacing w:line="360" w:lineRule="auto"/>
        <w:jc w:val="both"/>
        <w:rPr>
          <w:rFonts w:ascii="Arial" w:hAnsi="Arial" w:cs="Arial"/>
          <w:sz w:val="24"/>
          <w:szCs w:val="24"/>
        </w:rPr>
      </w:pPr>
      <w:r w:rsidRPr="008F4295">
        <w:rPr>
          <w:rFonts w:ascii="Arial" w:hAnsi="Arial" w:cs="Arial"/>
          <w:sz w:val="24"/>
          <w:szCs w:val="24"/>
        </w:rPr>
        <w:t>What types of outcomes are associated with SDS in comparable contexts, and how do these align with Northern Ireland's health and social care priorities?</w:t>
      </w:r>
    </w:p>
    <w:p w14:paraId="7FAEEA60" w14:textId="77777777" w:rsidR="00AA3E5F" w:rsidRPr="008F4295" w:rsidRDefault="00AA3E5F" w:rsidP="00334F09">
      <w:pPr>
        <w:numPr>
          <w:ilvl w:val="0"/>
          <w:numId w:val="26"/>
        </w:numPr>
        <w:spacing w:line="360" w:lineRule="auto"/>
        <w:jc w:val="both"/>
        <w:rPr>
          <w:rFonts w:ascii="Arial" w:hAnsi="Arial" w:cs="Arial"/>
          <w:sz w:val="24"/>
          <w:szCs w:val="24"/>
        </w:rPr>
      </w:pPr>
      <w:r w:rsidRPr="008F4295">
        <w:rPr>
          <w:rFonts w:ascii="Arial" w:hAnsi="Arial" w:cs="Arial"/>
          <w:sz w:val="24"/>
          <w:szCs w:val="24"/>
        </w:rPr>
        <w:t>What tools or frameworks exist to measure SDS outcomes, and how transferable and practical are they for implementation within Northern Ireland's specific context?</w:t>
      </w:r>
    </w:p>
    <w:p w14:paraId="74626A9E" w14:textId="77777777" w:rsidR="00AA3E5F" w:rsidRPr="008F4295" w:rsidRDefault="00AA3E5F" w:rsidP="00334F09">
      <w:pPr>
        <w:numPr>
          <w:ilvl w:val="0"/>
          <w:numId w:val="26"/>
        </w:numPr>
        <w:spacing w:line="360" w:lineRule="auto"/>
        <w:jc w:val="both"/>
        <w:rPr>
          <w:rFonts w:ascii="Arial" w:hAnsi="Arial" w:cs="Arial"/>
          <w:sz w:val="24"/>
          <w:szCs w:val="24"/>
        </w:rPr>
      </w:pPr>
      <w:r w:rsidRPr="008F4295">
        <w:rPr>
          <w:rFonts w:ascii="Arial" w:hAnsi="Arial" w:cs="Arial"/>
          <w:sz w:val="24"/>
          <w:szCs w:val="24"/>
        </w:rPr>
        <w:t>What are the key enablers and barriers to successfully embedding outcome measurement tools into routine practice across Northern Ireland's SDS landscape?</w:t>
      </w:r>
    </w:p>
    <w:p w14:paraId="7EA13870" w14:textId="77777777" w:rsidR="00AA3E5F" w:rsidRPr="008F4295" w:rsidRDefault="00AA3E5F" w:rsidP="00155904">
      <w:pPr>
        <w:pStyle w:val="Heading3"/>
      </w:pPr>
      <w:r w:rsidRPr="008F4295">
        <w:t>Structure of the Review</w:t>
      </w:r>
    </w:p>
    <w:p w14:paraId="09FF296F" w14:textId="77777777" w:rsidR="00AA3E5F" w:rsidRPr="008F4295" w:rsidRDefault="00AA3E5F" w:rsidP="00334F09">
      <w:pPr>
        <w:spacing w:line="360" w:lineRule="auto"/>
        <w:jc w:val="both"/>
        <w:rPr>
          <w:rFonts w:ascii="Arial" w:hAnsi="Arial" w:cs="Arial"/>
          <w:sz w:val="24"/>
          <w:szCs w:val="24"/>
        </w:rPr>
      </w:pPr>
      <w:r w:rsidRPr="008F4295">
        <w:rPr>
          <w:rFonts w:ascii="Arial" w:hAnsi="Arial" w:cs="Arial"/>
          <w:sz w:val="24"/>
          <w:szCs w:val="24"/>
        </w:rPr>
        <w:t>Following this introduction, the review is structured thematically to explore each research question in depth. The analysis draws on academic literature, policy documents, and international case studies to provide comprehensive insights relevant to Northern Ireland's context. The conclusion synthesises findings and provides practical recommendations for policymakers, practitioners, and researchers working to enhance outcome measurement in SDS. By addressing these questions, this review aims to support the development of more effective, person-centred SDS implementation in Northern Ireland, ensuring the system delivers both greater control and tangible improvements in the lives of those who rely on care and support.</w:t>
      </w:r>
    </w:p>
    <w:p w14:paraId="04C081C3" w14:textId="4D0CF1F6" w:rsidR="00381B85" w:rsidRPr="008F4295" w:rsidRDefault="00381B85" w:rsidP="00334F09">
      <w:pPr>
        <w:pStyle w:val="Heading1"/>
        <w:jc w:val="both"/>
        <w:rPr>
          <w:sz w:val="24"/>
          <w:szCs w:val="24"/>
        </w:rPr>
      </w:pPr>
      <w:r w:rsidRPr="008F4295">
        <w:rPr>
          <w:sz w:val="24"/>
          <w:szCs w:val="24"/>
        </w:rPr>
        <w:t>User Perspectives on Autonomy, Choice, and Control in Self-Directed Support</w:t>
      </w:r>
    </w:p>
    <w:p w14:paraId="3C9839A3" w14:textId="00445DEF" w:rsidR="00381B85" w:rsidRPr="008F4295" w:rsidRDefault="00381B85" w:rsidP="00334F09">
      <w:pPr>
        <w:spacing w:line="360" w:lineRule="auto"/>
        <w:jc w:val="both"/>
        <w:rPr>
          <w:rFonts w:ascii="Arial" w:hAnsi="Arial" w:cs="Arial"/>
          <w:sz w:val="24"/>
          <w:szCs w:val="24"/>
        </w:rPr>
      </w:pPr>
      <w:r w:rsidRPr="008F4295">
        <w:rPr>
          <w:rFonts w:ascii="Arial" w:hAnsi="Arial" w:cs="Arial"/>
          <w:sz w:val="24"/>
          <w:szCs w:val="24"/>
        </w:rPr>
        <w:t xml:space="preserve">Self-Directed Support (SDS) has emerged across the UK as a person-centred approach with the potential to significantly reconfigure how social care is experienced by individuals. At its core, SDS is intended to shift control from the state to the person, </w:t>
      </w:r>
      <w:r w:rsidRPr="008F4295">
        <w:rPr>
          <w:rFonts w:ascii="Arial" w:hAnsi="Arial" w:cs="Arial"/>
          <w:sz w:val="24"/>
          <w:szCs w:val="24"/>
        </w:rPr>
        <w:lastRenderedPageBreak/>
        <w:t>supporting individuals to make informed decisions about how, when, and by whom their care is delivered. This model is rooted in a commitment to autonomy, flexibility, and human rights, challenging conventional, provider-led systems and reflecting a broader movement toward personalised, rights-based support (Duffy, 2018; Carr, 2011; Glasby &amp; Littlechild, 2016). In the Northern Ireland context, although progress has been shaped by distinctive structural and policy factors, evidence suggests that SDS has demonstrable potential to deliver meaningful improvements in the lives of people who draw on care and support</w:t>
      </w:r>
      <w:r w:rsidR="00934FBC" w:rsidRPr="008F4295">
        <w:rPr>
          <w:rFonts w:ascii="Arial" w:hAnsi="Arial" w:cs="Arial"/>
          <w:sz w:val="24"/>
          <w:szCs w:val="24"/>
        </w:rPr>
        <w:t xml:space="preserve">, </w:t>
      </w:r>
      <w:r w:rsidRPr="008F4295">
        <w:rPr>
          <w:rFonts w:ascii="Arial" w:hAnsi="Arial" w:cs="Arial"/>
          <w:sz w:val="24"/>
          <w:szCs w:val="24"/>
        </w:rPr>
        <w:t>particularly when implementation aligns with individual values and needs.</w:t>
      </w:r>
    </w:p>
    <w:p w14:paraId="36E7FC0E" w14:textId="186CCD2F" w:rsidR="00381B85" w:rsidRPr="008F4295" w:rsidRDefault="00381B85" w:rsidP="00334F09">
      <w:pPr>
        <w:spacing w:line="360" w:lineRule="auto"/>
        <w:jc w:val="both"/>
        <w:rPr>
          <w:rFonts w:ascii="Arial" w:hAnsi="Arial" w:cs="Arial"/>
          <w:sz w:val="24"/>
          <w:szCs w:val="24"/>
        </w:rPr>
      </w:pPr>
      <w:r w:rsidRPr="008F4295">
        <w:rPr>
          <w:rFonts w:ascii="Arial" w:hAnsi="Arial" w:cs="Arial"/>
          <w:sz w:val="24"/>
          <w:szCs w:val="24"/>
        </w:rPr>
        <w:t>Research across the UK consistently identifies a range of outcomes that matter most to individuals using SDS. These include enhanced empowerment, dignity, independence, a stronger sense of inclusion, and greater satisfaction with care</w:t>
      </w:r>
      <w:r w:rsidR="002F6D78">
        <w:rPr>
          <w:rFonts w:ascii="Arial" w:hAnsi="Arial" w:cs="Arial"/>
          <w:sz w:val="24"/>
          <w:szCs w:val="24"/>
        </w:rPr>
        <w:t xml:space="preserve"> (</w:t>
      </w:r>
      <w:r w:rsidR="00D21F35">
        <w:rPr>
          <w:rFonts w:ascii="Arial" w:hAnsi="Arial" w:cs="Arial"/>
          <w:sz w:val="24"/>
          <w:szCs w:val="24"/>
        </w:rPr>
        <w:t>Ma</w:t>
      </w:r>
      <w:r w:rsidR="00317232">
        <w:rPr>
          <w:rFonts w:ascii="Arial" w:hAnsi="Arial" w:cs="Arial"/>
          <w:sz w:val="24"/>
          <w:szCs w:val="24"/>
        </w:rPr>
        <w:t>nthorpe et al, 2015; Baxter et al, 2020; Needham and Glasby, 2014)</w:t>
      </w:r>
      <w:r w:rsidRPr="008F4295">
        <w:rPr>
          <w:rFonts w:ascii="Arial" w:hAnsi="Arial" w:cs="Arial"/>
          <w:sz w:val="24"/>
          <w:szCs w:val="24"/>
        </w:rPr>
        <w:t>. Individuals who have access to Direct Payments and use them to employ Personal Assistants (PAs) frequently report the most tangible improvements in these areas. The ability to organise care around one’s own schedule, to engage in work, education or social participation, and to define support goals beyond basic needs are central to the positive experiences described in the literature (Carr, 2011; Glasby, 2014; Tawodzera et al., 2024). These aspects of choice and control are not merely administrative preferences; they are closely tied to individuals’ ability to live a life with agency, reflecting core values of dignity and self-determination (Duffy, 2018; Needham &amp; Hall, 2023).</w:t>
      </w:r>
      <w:r w:rsidR="00EC50DC" w:rsidRPr="008F4295">
        <w:rPr>
          <w:rFonts w:ascii="Arial" w:hAnsi="Arial" w:cs="Arial"/>
          <w:sz w:val="24"/>
          <w:szCs w:val="24"/>
        </w:rPr>
        <w:t xml:space="preserve"> </w:t>
      </w:r>
    </w:p>
    <w:p w14:paraId="7CBD76C1" w14:textId="5200EFA3" w:rsidR="00381B85" w:rsidRPr="008F4295" w:rsidRDefault="00381B85" w:rsidP="00334F09">
      <w:pPr>
        <w:spacing w:line="360" w:lineRule="auto"/>
        <w:jc w:val="both"/>
        <w:rPr>
          <w:rFonts w:ascii="Arial" w:hAnsi="Arial" w:cs="Arial"/>
          <w:sz w:val="24"/>
          <w:szCs w:val="24"/>
        </w:rPr>
      </w:pPr>
      <w:r w:rsidRPr="008F4295">
        <w:rPr>
          <w:rFonts w:ascii="Arial" w:hAnsi="Arial" w:cs="Arial"/>
          <w:sz w:val="24"/>
          <w:szCs w:val="24"/>
        </w:rPr>
        <w:t>Evidence from Northern Ireland further supports these findings. Although SDS policy and legislative development has historically lagged behind other UK regions, pilot initiatives within Health and Social Care Trusts, such as the Southern Trust’s managed budget trials, have demonstrated positive user outcomes. Participants in these pilots have reported improved satisfaction with their care, a stronger sense of autonomy, and increased confidence in managing their lives (Duffy et al., 2015; Hughes, 2024). These outcomes align with the ambitions of a personalised model that seeks to enable not only the management of care needs, but the flourishing of the individual in wider social, cultural, and economic life (</w:t>
      </w:r>
      <w:proofErr w:type="spellStart"/>
      <w:r w:rsidRPr="008F4295">
        <w:rPr>
          <w:rFonts w:ascii="Arial" w:hAnsi="Arial" w:cs="Arial"/>
          <w:sz w:val="24"/>
          <w:szCs w:val="24"/>
        </w:rPr>
        <w:t>Slasberg</w:t>
      </w:r>
      <w:proofErr w:type="spellEnd"/>
      <w:r w:rsidRPr="008F4295">
        <w:rPr>
          <w:rFonts w:ascii="Arial" w:hAnsi="Arial" w:cs="Arial"/>
          <w:sz w:val="24"/>
          <w:szCs w:val="24"/>
        </w:rPr>
        <w:t xml:space="preserve"> et al., 2012). These accounts suggest that </w:t>
      </w:r>
      <w:r w:rsidRPr="008F4295">
        <w:rPr>
          <w:rFonts w:ascii="Arial" w:hAnsi="Arial" w:cs="Arial"/>
          <w:sz w:val="24"/>
          <w:szCs w:val="24"/>
        </w:rPr>
        <w:lastRenderedPageBreak/>
        <w:t>when SDS is implemented in ways that are consistent with its core principles, individuals in Northern Ireland can and do experience the kinds of transformative benefits reported elsewhere in the UK</w:t>
      </w:r>
      <w:r w:rsidR="001F6A80">
        <w:rPr>
          <w:rFonts w:ascii="Arial" w:hAnsi="Arial" w:cs="Arial"/>
          <w:sz w:val="24"/>
          <w:szCs w:val="24"/>
        </w:rPr>
        <w:t xml:space="preserve"> (Hughes, 2024; Chapman,</w:t>
      </w:r>
      <w:r w:rsidR="0001002E">
        <w:rPr>
          <w:rFonts w:ascii="Arial" w:hAnsi="Arial" w:cs="Arial"/>
          <w:sz w:val="24"/>
          <w:szCs w:val="24"/>
        </w:rPr>
        <w:t>2020)</w:t>
      </w:r>
      <w:r w:rsidRPr="008F4295">
        <w:rPr>
          <w:rFonts w:ascii="Arial" w:hAnsi="Arial" w:cs="Arial"/>
          <w:sz w:val="24"/>
          <w:szCs w:val="24"/>
        </w:rPr>
        <w:t>.</w:t>
      </w:r>
    </w:p>
    <w:p w14:paraId="0B81C9DF" w14:textId="37B93826" w:rsidR="00381B85" w:rsidRPr="008F4295" w:rsidRDefault="00381B85" w:rsidP="00334F09">
      <w:pPr>
        <w:spacing w:line="360" w:lineRule="auto"/>
        <w:jc w:val="both"/>
        <w:rPr>
          <w:rFonts w:ascii="Arial" w:hAnsi="Arial" w:cs="Arial"/>
          <w:sz w:val="24"/>
          <w:szCs w:val="24"/>
        </w:rPr>
      </w:pPr>
      <w:r w:rsidRPr="008F4295">
        <w:rPr>
          <w:rFonts w:ascii="Arial" w:hAnsi="Arial" w:cs="Arial"/>
          <w:sz w:val="24"/>
          <w:szCs w:val="24"/>
        </w:rPr>
        <w:t xml:space="preserve">Nevertheless, not all individuals experience these outcomes equally. The literature shows that outcomes associated with SDS are often contingent on a person's confidence in navigating administrative systems, access to informal support networks, and capacity to manage the practicalities of employing staff (Netten et al., 2012; Carey et al., 2019). While some people find SDS empowering, others may find it stressful or impractical. For older adults, people with complex needs, or those without support from family or friends, managing a </w:t>
      </w:r>
      <w:r w:rsidR="00B6047F" w:rsidRPr="008F4295">
        <w:rPr>
          <w:rFonts w:ascii="Arial" w:hAnsi="Arial" w:cs="Arial"/>
          <w:sz w:val="24"/>
          <w:szCs w:val="24"/>
        </w:rPr>
        <w:t xml:space="preserve">services like </w:t>
      </w:r>
      <w:r w:rsidRPr="008F4295">
        <w:rPr>
          <w:rFonts w:ascii="Arial" w:hAnsi="Arial" w:cs="Arial"/>
          <w:sz w:val="24"/>
          <w:szCs w:val="24"/>
        </w:rPr>
        <w:t xml:space="preserve">Direct Payment can be overwhelming or undesirable (Glasby &amp; Littlechild, 2016; McGuigan et al., 2016). </w:t>
      </w:r>
      <w:r w:rsidR="00EC50DC" w:rsidRPr="008F4295">
        <w:rPr>
          <w:rFonts w:ascii="Arial" w:hAnsi="Arial" w:cs="Arial"/>
          <w:sz w:val="24"/>
          <w:szCs w:val="24"/>
        </w:rPr>
        <w:t>This disparity has clear equality implications: systems that require significant administrative confidence or informal support risk excluding those with cognitive impairments, people from lower socio-economic backgrounds, older adults without family networks, and individuals from cultures where state systems are approached with caution, effectively creating a two-tier system of support</w:t>
      </w:r>
      <w:r w:rsidR="007609C6" w:rsidRPr="008F4295">
        <w:rPr>
          <w:rFonts w:ascii="Arial" w:hAnsi="Arial" w:cs="Arial"/>
          <w:sz w:val="24"/>
          <w:szCs w:val="24"/>
        </w:rPr>
        <w:t xml:space="preserve"> </w:t>
      </w:r>
      <w:r w:rsidR="00221EB7" w:rsidRPr="008F4295">
        <w:rPr>
          <w:rFonts w:ascii="Arial" w:hAnsi="Arial" w:cs="Arial"/>
          <w:sz w:val="24"/>
          <w:szCs w:val="24"/>
        </w:rPr>
        <w:t>(</w:t>
      </w:r>
      <w:r w:rsidR="007609C6" w:rsidRPr="008F4295">
        <w:rPr>
          <w:rFonts w:ascii="Arial" w:hAnsi="Arial" w:cs="Arial"/>
          <w:sz w:val="24"/>
          <w:szCs w:val="24"/>
        </w:rPr>
        <w:t>Needham, 2024;</w:t>
      </w:r>
      <w:r w:rsidR="00221EB7" w:rsidRPr="008F4295">
        <w:rPr>
          <w:rFonts w:ascii="Arial" w:hAnsi="Arial" w:cs="Arial"/>
          <w:sz w:val="24"/>
          <w:szCs w:val="24"/>
        </w:rPr>
        <w:t xml:space="preserve"> Manthorpe et al, 2011)</w:t>
      </w:r>
      <w:r w:rsidR="00EC50DC" w:rsidRPr="008F4295">
        <w:rPr>
          <w:rFonts w:ascii="Arial" w:hAnsi="Arial" w:cs="Arial"/>
          <w:sz w:val="24"/>
          <w:szCs w:val="24"/>
        </w:rPr>
        <w:t xml:space="preserve">. </w:t>
      </w:r>
      <w:r w:rsidRPr="008F4295">
        <w:rPr>
          <w:rFonts w:ascii="Arial" w:hAnsi="Arial" w:cs="Arial"/>
          <w:sz w:val="24"/>
          <w:szCs w:val="24"/>
        </w:rPr>
        <w:t xml:space="preserve">Importantly, however, this does not suggest that SDS lacks relevance for these groups. Rather, it </w:t>
      </w:r>
      <w:r w:rsidR="00923B45" w:rsidRPr="008F4295">
        <w:rPr>
          <w:rFonts w:ascii="Arial" w:hAnsi="Arial" w:cs="Arial"/>
          <w:sz w:val="24"/>
          <w:szCs w:val="24"/>
        </w:rPr>
        <w:t>highlights</w:t>
      </w:r>
      <w:r w:rsidRPr="008F4295">
        <w:rPr>
          <w:rFonts w:ascii="Arial" w:hAnsi="Arial" w:cs="Arial"/>
          <w:sz w:val="24"/>
          <w:szCs w:val="24"/>
        </w:rPr>
        <w:t xml:space="preserve"> the need for flexibility within the model, allowing people to exercise choice in how much control they want to take, and over which aspects of their support. The emphasis should not be on autonomy as a uniform expectation, but on agency</w:t>
      </w:r>
      <w:r w:rsidR="007F6E25" w:rsidRPr="008F4295">
        <w:rPr>
          <w:rFonts w:ascii="Arial" w:hAnsi="Arial" w:cs="Arial"/>
          <w:sz w:val="24"/>
          <w:szCs w:val="24"/>
        </w:rPr>
        <w:t xml:space="preserve">, </w:t>
      </w:r>
      <w:r w:rsidRPr="008F4295">
        <w:rPr>
          <w:rFonts w:ascii="Arial" w:hAnsi="Arial" w:cs="Arial"/>
          <w:sz w:val="24"/>
          <w:szCs w:val="24"/>
        </w:rPr>
        <w:t>defined as the ability to determine what matters most to one’s own life and to exercise choice in accordance with that</w:t>
      </w:r>
      <w:r w:rsidR="00B762CC" w:rsidRPr="008F4295">
        <w:rPr>
          <w:rFonts w:ascii="Arial" w:hAnsi="Arial" w:cs="Arial"/>
          <w:sz w:val="24"/>
          <w:szCs w:val="24"/>
        </w:rPr>
        <w:t xml:space="preserve"> (Turner, 2017</w:t>
      </w:r>
      <w:r w:rsidR="00DB6192" w:rsidRPr="008F4295">
        <w:rPr>
          <w:rFonts w:ascii="Arial" w:hAnsi="Arial" w:cs="Arial"/>
          <w:sz w:val="24"/>
          <w:szCs w:val="24"/>
        </w:rPr>
        <w:t>; Needham, 2024)</w:t>
      </w:r>
      <w:r w:rsidRPr="008F4295">
        <w:rPr>
          <w:rFonts w:ascii="Arial" w:hAnsi="Arial" w:cs="Arial"/>
          <w:sz w:val="24"/>
          <w:szCs w:val="24"/>
        </w:rPr>
        <w:t>.</w:t>
      </w:r>
    </w:p>
    <w:p w14:paraId="0D2A17F4" w14:textId="05548D5E" w:rsidR="00381B85" w:rsidRPr="008F4295" w:rsidRDefault="00381B85" w:rsidP="00334F09">
      <w:pPr>
        <w:spacing w:line="360" w:lineRule="auto"/>
        <w:jc w:val="both"/>
        <w:rPr>
          <w:rFonts w:ascii="Arial" w:hAnsi="Arial" w:cs="Arial"/>
          <w:sz w:val="24"/>
          <w:szCs w:val="24"/>
        </w:rPr>
      </w:pPr>
      <w:r w:rsidRPr="008F4295">
        <w:rPr>
          <w:rFonts w:ascii="Arial" w:hAnsi="Arial" w:cs="Arial"/>
          <w:sz w:val="24"/>
          <w:szCs w:val="24"/>
        </w:rPr>
        <w:t xml:space="preserve">For this </w:t>
      </w:r>
      <w:r w:rsidR="00D2186B" w:rsidRPr="008F4295">
        <w:rPr>
          <w:rFonts w:ascii="Arial" w:hAnsi="Arial" w:cs="Arial"/>
          <w:sz w:val="24"/>
          <w:szCs w:val="24"/>
        </w:rPr>
        <w:t>reason,</w:t>
      </w:r>
      <w:r w:rsidR="002E63DD" w:rsidRPr="008F4295">
        <w:rPr>
          <w:rFonts w:ascii="Arial" w:hAnsi="Arial" w:cs="Arial"/>
          <w:sz w:val="24"/>
          <w:szCs w:val="24"/>
        </w:rPr>
        <w:t xml:space="preserve"> the literature </w:t>
      </w:r>
      <w:r w:rsidR="00D2186B" w:rsidRPr="008F4295">
        <w:rPr>
          <w:rFonts w:ascii="Arial" w:hAnsi="Arial" w:cs="Arial"/>
          <w:sz w:val="24"/>
          <w:szCs w:val="24"/>
        </w:rPr>
        <w:t>indicates that</w:t>
      </w:r>
      <w:r w:rsidRPr="008F4295">
        <w:rPr>
          <w:rFonts w:ascii="Arial" w:hAnsi="Arial" w:cs="Arial"/>
          <w:sz w:val="24"/>
          <w:szCs w:val="24"/>
        </w:rPr>
        <w:t>, the measurement of outcomes in SDS must reflect the full range of what people value. Standard indicators of improvement, such as changes in health status or reduction in service use, may fail to capture more personal and meaningful goals such as maintaining stability, preserving identity, or participating in community life</w:t>
      </w:r>
      <w:r w:rsidR="00EF5F1A" w:rsidRPr="008F4295">
        <w:rPr>
          <w:rFonts w:ascii="Arial" w:hAnsi="Arial" w:cs="Arial"/>
          <w:sz w:val="24"/>
          <w:szCs w:val="24"/>
        </w:rPr>
        <w:t xml:space="preserve"> (Scot</w:t>
      </w:r>
      <w:r w:rsidR="002409E7" w:rsidRPr="008F4295">
        <w:rPr>
          <w:rFonts w:ascii="Arial" w:hAnsi="Arial" w:cs="Arial"/>
          <w:sz w:val="24"/>
          <w:szCs w:val="24"/>
        </w:rPr>
        <w:t>t</w:t>
      </w:r>
      <w:r w:rsidR="00EF5F1A" w:rsidRPr="008F4295">
        <w:rPr>
          <w:rFonts w:ascii="Arial" w:hAnsi="Arial" w:cs="Arial"/>
          <w:sz w:val="24"/>
          <w:szCs w:val="24"/>
        </w:rPr>
        <w:t>ish Government</w:t>
      </w:r>
      <w:r w:rsidR="0035117F" w:rsidRPr="008F4295">
        <w:rPr>
          <w:rFonts w:ascii="Arial" w:hAnsi="Arial" w:cs="Arial"/>
          <w:sz w:val="24"/>
          <w:szCs w:val="24"/>
        </w:rPr>
        <w:t xml:space="preserve">, 2023; </w:t>
      </w:r>
      <w:r w:rsidR="00D959A2" w:rsidRPr="008F4295">
        <w:rPr>
          <w:rFonts w:ascii="Arial" w:hAnsi="Arial" w:cs="Arial"/>
          <w:sz w:val="24"/>
          <w:szCs w:val="24"/>
        </w:rPr>
        <w:t xml:space="preserve">Self Directed </w:t>
      </w:r>
      <w:r w:rsidR="00C7770A" w:rsidRPr="008F4295">
        <w:rPr>
          <w:rFonts w:ascii="Arial" w:hAnsi="Arial" w:cs="Arial"/>
          <w:sz w:val="24"/>
          <w:szCs w:val="24"/>
        </w:rPr>
        <w:t>Support Project Team, 2024)</w:t>
      </w:r>
      <w:r w:rsidRPr="008F4295">
        <w:rPr>
          <w:rFonts w:ascii="Arial" w:hAnsi="Arial" w:cs="Arial"/>
          <w:sz w:val="24"/>
          <w:szCs w:val="24"/>
        </w:rPr>
        <w:t xml:space="preserve">. Literature from across the UK highlights that people often define positive outcomes not in terms of linear progress, but in terms of sustaining well-being, preventing deterioration, or having reliable relationships with those who support them (Rand et al., 2017; Carey et al., 2019). </w:t>
      </w:r>
      <w:r w:rsidR="00CB7D64" w:rsidRPr="008F4295">
        <w:rPr>
          <w:rFonts w:ascii="Arial" w:hAnsi="Arial" w:cs="Arial"/>
          <w:sz w:val="24"/>
          <w:szCs w:val="24"/>
        </w:rPr>
        <w:t>Outcomes frameworks must be co-</w:t>
      </w:r>
      <w:r w:rsidR="00CB7D64" w:rsidRPr="008F4295">
        <w:rPr>
          <w:rFonts w:ascii="Arial" w:hAnsi="Arial" w:cs="Arial"/>
          <w:sz w:val="24"/>
          <w:szCs w:val="24"/>
        </w:rPr>
        <w:lastRenderedPageBreak/>
        <w:t>produced with people who use services, actively prioritising the perspectives of those most often marginalised. This ensures that definitions of ‘valued outcomes’ are not shaped solely by majority cultural norms, but instead reflect the diverse aspirations of all communities, including those who value collective wellbeing over individual achievement (</w:t>
      </w:r>
      <w:r w:rsidR="00EF50F2" w:rsidRPr="008F4295">
        <w:rPr>
          <w:rFonts w:ascii="Arial" w:hAnsi="Arial" w:cs="Arial"/>
          <w:sz w:val="24"/>
          <w:szCs w:val="24"/>
        </w:rPr>
        <w:t>Self Directed Support Project Team, 2024)</w:t>
      </w:r>
      <w:r w:rsidR="00CB7D64" w:rsidRPr="008F4295">
        <w:rPr>
          <w:rFonts w:ascii="Arial" w:hAnsi="Arial" w:cs="Arial"/>
          <w:sz w:val="24"/>
          <w:szCs w:val="24"/>
        </w:rPr>
        <w:t>.</w:t>
      </w:r>
    </w:p>
    <w:p w14:paraId="22E59800" w14:textId="5993694A" w:rsidR="00381B85" w:rsidRPr="008F4295" w:rsidRDefault="00381B85" w:rsidP="00334F09">
      <w:pPr>
        <w:spacing w:line="360" w:lineRule="auto"/>
        <w:jc w:val="both"/>
        <w:rPr>
          <w:rFonts w:ascii="Arial" w:hAnsi="Arial" w:cs="Arial"/>
          <w:sz w:val="24"/>
          <w:szCs w:val="24"/>
        </w:rPr>
      </w:pPr>
      <w:r w:rsidRPr="008F4295">
        <w:rPr>
          <w:rFonts w:ascii="Arial" w:hAnsi="Arial" w:cs="Arial"/>
          <w:sz w:val="24"/>
          <w:szCs w:val="24"/>
        </w:rPr>
        <w:t>In Northern Ireland, the importance of co-producing such frameworks is especially critical given the diversity of experiences and the historical absence of unified SDS policy legislation</w:t>
      </w:r>
      <w:r w:rsidR="00B940F2" w:rsidRPr="008F4295">
        <w:rPr>
          <w:rFonts w:ascii="Arial" w:hAnsi="Arial" w:cs="Arial"/>
          <w:sz w:val="24"/>
          <w:szCs w:val="24"/>
        </w:rPr>
        <w:t xml:space="preserve"> (Hughes, 2024)</w:t>
      </w:r>
      <w:r w:rsidRPr="008F4295">
        <w:rPr>
          <w:rFonts w:ascii="Arial" w:hAnsi="Arial" w:cs="Arial"/>
          <w:sz w:val="24"/>
          <w:szCs w:val="24"/>
        </w:rPr>
        <w:t>. Several models of outcomes development</w:t>
      </w:r>
      <w:r w:rsidR="00B940F2" w:rsidRPr="008F4295">
        <w:rPr>
          <w:rFonts w:ascii="Arial" w:hAnsi="Arial" w:cs="Arial"/>
          <w:sz w:val="24"/>
          <w:szCs w:val="24"/>
        </w:rPr>
        <w:t xml:space="preserve">, </w:t>
      </w:r>
      <w:r w:rsidRPr="008F4295">
        <w:rPr>
          <w:rFonts w:ascii="Arial" w:hAnsi="Arial" w:cs="Arial"/>
          <w:sz w:val="24"/>
          <w:szCs w:val="24"/>
        </w:rPr>
        <w:t>many already in use elsewhere in the UK</w:t>
      </w:r>
      <w:r w:rsidR="00B940F2" w:rsidRPr="008F4295">
        <w:rPr>
          <w:rFonts w:ascii="Arial" w:hAnsi="Arial" w:cs="Arial"/>
          <w:sz w:val="24"/>
          <w:szCs w:val="24"/>
        </w:rPr>
        <w:t xml:space="preserve">, </w:t>
      </w:r>
      <w:r w:rsidRPr="008F4295">
        <w:rPr>
          <w:rFonts w:ascii="Arial" w:hAnsi="Arial" w:cs="Arial"/>
          <w:sz w:val="24"/>
          <w:szCs w:val="24"/>
        </w:rPr>
        <w:t xml:space="preserve">offer practical strategies for capturing what matters to people. The Social Return on Investment (SROI) approach, for instance, engages people directly through focus groups to identify valued outcomes. Outcomes-Based Accountability (OBA), which is already used in Northern Ireland’s public reporting systems, brings together stakeholders to determine shared indicators of success. Logic modelling offers another structured way of clarifying how interventions are expected to lead to particular outcomes. </w:t>
      </w:r>
      <w:r w:rsidR="00C60931" w:rsidRPr="008F4295">
        <w:rPr>
          <w:rFonts w:ascii="Arial" w:hAnsi="Arial" w:cs="Arial"/>
          <w:sz w:val="24"/>
          <w:szCs w:val="24"/>
        </w:rPr>
        <w:t>Projects</w:t>
      </w:r>
      <w:r w:rsidRPr="008F4295">
        <w:rPr>
          <w:rFonts w:ascii="Arial" w:hAnsi="Arial" w:cs="Arial"/>
          <w:sz w:val="24"/>
          <w:szCs w:val="24"/>
        </w:rPr>
        <w:t xml:space="preserve"> like EQUAL-D </w:t>
      </w:r>
      <w:r w:rsidR="00136C0B" w:rsidRPr="008F4295">
        <w:rPr>
          <w:rFonts w:ascii="Arial" w:hAnsi="Arial" w:cs="Arial"/>
          <w:sz w:val="24"/>
          <w:szCs w:val="24"/>
        </w:rPr>
        <w:t xml:space="preserve">in England </w:t>
      </w:r>
      <w:r w:rsidRPr="008F4295">
        <w:rPr>
          <w:rFonts w:ascii="Arial" w:hAnsi="Arial" w:cs="Arial"/>
          <w:sz w:val="24"/>
          <w:szCs w:val="24"/>
        </w:rPr>
        <w:t>have used co-produced “I-statements” to express what good support looks like from the individual’s perspective, while the “My Life My Way” project offers further evidence of how co-production can lead to assessment tools that reflect real-world values and goals.</w:t>
      </w:r>
    </w:p>
    <w:p w14:paraId="5C6BBDB4" w14:textId="321204EF" w:rsidR="00231D00" w:rsidRDefault="00530873" w:rsidP="00334F09">
      <w:pPr>
        <w:spacing w:line="360" w:lineRule="auto"/>
        <w:jc w:val="both"/>
        <w:rPr>
          <w:rFonts w:ascii="Arial" w:hAnsi="Arial" w:cs="Arial"/>
          <w:sz w:val="24"/>
          <w:szCs w:val="24"/>
        </w:rPr>
      </w:pPr>
      <w:r w:rsidRPr="00530873">
        <w:rPr>
          <w:rFonts w:ascii="Arial" w:hAnsi="Arial" w:cs="Arial"/>
          <w:sz w:val="24"/>
          <w:szCs w:val="24"/>
        </w:rPr>
        <w:t xml:space="preserve">Such approaches are supported by evidence indicating that co-production provides a foundational mechanism for ensuring the accountability of Self-Directed Support systems to the individuals they serve (Chapman, 2020). Evidence suggests that these methods not only enhance the credibility and relevance of outcome measures but also ensure that systems are informed by the lived experiences of </w:t>
      </w:r>
      <w:r w:rsidR="00851B6C">
        <w:rPr>
          <w:rFonts w:ascii="Arial" w:hAnsi="Arial" w:cs="Arial"/>
          <w:sz w:val="24"/>
          <w:szCs w:val="24"/>
        </w:rPr>
        <w:t>people who draw on care and support</w:t>
      </w:r>
      <w:r w:rsidRPr="00530873">
        <w:rPr>
          <w:rFonts w:ascii="Arial" w:hAnsi="Arial" w:cs="Arial"/>
          <w:sz w:val="24"/>
          <w:szCs w:val="24"/>
        </w:rPr>
        <w:t xml:space="preserve"> (</w:t>
      </w:r>
      <w:r w:rsidR="00851B6C">
        <w:rPr>
          <w:rFonts w:ascii="Arial" w:hAnsi="Arial" w:cs="Arial"/>
          <w:sz w:val="24"/>
          <w:szCs w:val="24"/>
        </w:rPr>
        <w:t>SCIE, 2022</w:t>
      </w:r>
      <w:r w:rsidRPr="00530873">
        <w:rPr>
          <w:rFonts w:ascii="Arial" w:hAnsi="Arial" w:cs="Arial"/>
          <w:sz w:val="24"/>
          <w:szCs w:val="24"/>
        </w:rPr>
        <w:t>). Research indicates that co-production serves as a core component of implementation rather than an ancillary element, contributing directly to improved outcomes (Carr, 2018; Hughes, 2024). Embedding co-production into SDS development in Northern Ireland would help ensure the model reflects the diverse needs and preferences of the population while supporting individuals in defining, pursuing, and measuring outcomes that matter most in their lives.</w:t>
      </w:r>
    </w:p>
    <w:p w14:paraId="28DE0E7F" w14:textId="5AC2A246" w:rsidR="00381B85" w:rsidRPr="00CD3B9D" w:rsidRDefault="00381B85" w:rsidP="00CD3B9D">
      <w:pPr>
        <w:spacing w:line="360" w:lineRule="auto"/>
        <w:jc w:val="both"/>
        <w:rPr>
          <w:rFonts w:ascii="Arial" w:hAnsi="Arial" w:cs="Arial"/>
          <w:sz w:val="24"/>
          <w:szCs w:val="24"/>
        </w:rPr>
      </w:pPr>
      <w:r w:rsidRPr="008F4295">
        <w:rPr>
          <w:rFonts w:ascii="Arial" w:hAnsi="Arial" w:cs="Arial"/>
          <w:sz w:val="24"/>
          <w:szCs w:val="24"/>
        </w:rPr>
        <w:lastRenderedPageBreak/>
        <w:t>Taken together, the evidence suggests that SDS holds real promise as a mechanism for promoting autonomy, inclusion, and improved well-being outcomes for people who draw on care and support in Northern Ireland. While some of these benefits have already been demonstrated, others remain contingent on the continued evolution of policy, infrastructure, and practice. The challenge is not in questioning whether SDS can improve lives, but in ensuring that it does so consistently, equitably, and in ways that are defined by those at the centre of the system. By grounding outcome measurement in co-production and focusing on the priorities of service users, Northern Ireland can continue to develop an SDS model that delivers meaningful, person-centred support and reflects the aspirations of inclusive citizenship.</w:t>
      </w:r>
    </w:p>
    <w:p w14:paraId="3D6103EC" w14:textId="69DEE757" w:rsidR="00381B85" w:rsidRPr="008F4295" w:rsidRDefault="00381B85" w:rsidP="00EF7C86">
      <w:pPr>
        <w:pStyle w:val="Heading1"/>
        <w:jc w:val="both"/>
        <w:rPr>
          <w:sz w:val="24"/>
          <w:szCs w:val="24"/>
        </w:rPr>
      </w:pPr>
      <w:r w:rsidRPr="008F4295">
        <w:rPr>
          <w:sz w:val="24"/>
          <w:szCs w:val="24"/>
        </w:rPr>
        <w:t>Measuring SDS Outcomes: Tools, Frameworks, Challenges, and Transferability to Northern Ireland</w:t>
      </w:r>
    </w:p>
    <w:p w14:paraId="1DF69582" w14:textId="11091234" w:rsidR="00381B85" w:rsidRPr="008F4295" w:rsidRDefault="00381B85" w:rsidP="00EF7C86">
      <w:pPr>
        <w:spacing w:line="360" w:lineRule="auto"/>
        <w:jc w:val="both"/>
        <w:rPr>
          <w:rFonts w:ascii="Arial" w:hAnsi="Arial" w:cs="Arial"/>
          <w:sz w:val="24"/>
          <w:szCs w:val="24"/>
        </w:rPr>
      </w:pPr>
      <w:r w:rsidRPr="008F4295">
        <w:rPr>
          <w:rFonts w:ascii="Arial" w:hAnsi="Arial" w:cs="Arial"/>
          <w:sz w:val="24"/>
          <w:szCs w:val="24"/>
        </w:rPr>
        <w:t>The evidence shows that evaluating the impact of Self-Directed Support (SDS) requires sophisticated measurement tools that capture not only the systemic efficiency of care delivery but also, crucially, the personal well-being and autonomy experienced by individuals (Forder and Roland, 2021). In Northern Ireland, reports indicate that the primary assessment instrument, the Northern Ireland Single Assessment Tool (NISAT), provides a foundation by enabling holistic, multidisciplinary assessments of older adults’ health and social care needs across diverse life domains such as mental health, mobility, communication, and decision-making capacity (RQIA, 211; Taylor, 2012). This strengths-based approach has been found to align with the ethos of SDS by moving beyond purely deficit-focused evaluations toward recognizing personal abilities and goals, thereby fostering integrated working relationships between care professionals and service users (RQIA, 2011; Chapman, 2019; Duffy et al., 2015).</w:t>
      </w:r>
      <w:r w:rsidR="00EC50DC" w:rsidRPr="008F4295">
        <w:rPr>
          <w:rFonts w:ascii="Arial" w:hAnsi="Arial" w:cs="Arial"/>
          <w:sz w:val="24"/>
          <w:szCs w:val="24"/>
        </w:rPr>
        <w:t xml:space="preserve"> </w:t>
      </w:r>
    </w:p>
    <w:p w14:paraId="17D252DA" w14:textId="268C4178" w:rsidR="00381B85" w:rsidRPr="008F4295" w:rsidRDefault="00A402F2" w:rsidP="00EF7C86">
      <w:pPr>
        <w:spacing w:line="360" w:lineRule="auto"/>
        <w:jc w:val="both"/>
        <w:rPr>
          <w:rFonts w:ascii="Arial" w:hAnsi="Arial" w:cs="Arial"/>
          <w:sz w:val="24"/>
          <w:szCs w:val="24"/>
        </w:rPr>
      </w:pPr>
      <w:r w:rsidRPr="008F4295">
        <w:rPr>
          <w:rFonts w:ascii="Arial" w:hAnsi="Arial" w:cs="Arial"/>
          <w:sz w:val="24"/>
          <w:szCs w:val="24"/>
        </w:rPr>
        <w:t>The evidence</w:t>
      </w:r>
      <w:r w:rsidR="000F33A9" w:rsidRPr="008F4295">
        <w:rPr>
          <w:rFonts w:ascii="Arial" w:hAnsi="Arial" w:cs="Arial"/>
          <w:sz w:val="24"/>
          <w:szCs w:val="24"/>
        </w:rPr>
        <w:t xml:space="preserve"> suggests</w:t>
      </w:r>
      <w:r w:rsidR="00381B85" w:rsidRPr="008F4295">
        <w:rPr>
          <w:rFonts w:ascii="Arial" w:hAnsi="Arial" w:cs="Arial"/>
          <w:sz w:val="24"/>
          <w:szCs w:val="24"/>
        </w:rPr>
        <w:t xml:space="preserve"> that despite its utility, NISAT was never explicitly designed as a tool for measuring SDS outcomes</w:t>
      </w:r>
      <w:r w:rsidR="000B25A5" w:rsidRPr="008F4295">
        <w:rPr>
          <w:rFonts w:ascii="Arial" w:hAnsi="Arial" w:cs="Arial"/>
          <w:sz w:val="24"/>
          <w:szCs w:val="24"/>
        </w:rPr>
        <w:t xml:space="preserve"> (Hughes, 2024)</w:t>
      </w:r>
      <w:r w:rsidR="00381B85" w:rsidRPr="008F4295">
        <w:rPr>
          <w:rFonts w:ascii="Arial" w:hAnsi="Arial" w:cs="Arial"/>
          <w:sz w:val="24"/>
          <w:szCs w:val="24"/>
        </w:rPr>
        <w:t xml:space="preserve">. Its continued focus on identifying needs to inform budget allocation and care planning, rather than tracking changes over time in autonomy, satisfaction, or empowerment, limits its capacity to evaluate whether SDS arrangements translate into genuine improvements in quality of life or personal control (Hughes, 2024; Chapman, 2019). As a result, while NISAT supports the administrative groundwork for SDS, the evidence suggests it falls short in capturing </w:t>
      </w:r>
      <w:r w:rsidR="00381B85" w:rsidRPr="008F4295">
        <w:rPr>
          <w:rFonts w:ascii="Arial" w:hAnsi="Arial" w:cs="Arial"/>
          <w:sz w:val="24"/>
          <w:szCs w:val="24"/>
        </w:rPr>
        <w:lastRenderedPageBreak/>
        <w:t>the nuanced, individualised outcomes that SDS seeks to achieve</w:t>
      </w:r>
      <w:r w:rsidR="005C5377" w:rsidRPr="008F4295">
        <w:rPr>
          <w:rFonts w:ascii="Arial" w:hAnsi="Arial" w:cs="Arial"/>
          <w:sz w:val="24"/>
          <w:szCs w:val="24"/>
        </w:rPr>
        <w:t xml:space="preserve"> (RQ</w:t>
      </w:r>
      <w:r w:rsidR="00243F2B" w:rsidRPr="008F4295">
        <w:rPr>
          <w:rFonts w:ascii="Arial" w:hAnsi="Arial" w:cs="Arial"/>
          <w:sz w:val="24"/>
          <w:szCs w:val="24"/>
        </w:rPr>
        <w:t>IA, 2011)</w:t>
      </w:r>
      <w:r w:rsidR="00381B85" w:rsidRPr="008F4295">
        <w:rPr>
          <w:rFonts w:ascii="Arial" w:hAnsi="Arial" w:cs="Arial"/>
          <w:sz w:val="24"/>
          <w:szCs w:val="24"/>
        </w:rPr>
        <w:t>.</w:t>
      </w:r>
      <w:r w:rsidR="00EC50DC" w:rsidRPr="008F4295">
        <w:rPr>
          <w:rFonts w:ascii="Arial" w:hAnsi="Arial" w:cs="Arial"/>
          <w:sz w:val="24"/>
          <w:szCs w:val="24"/>
        </w:rPr>
        <w:t xml:space="preserve"> This failure to measure nuanced outcomes has profound equality implications; without tracking who benefits and who does not, the system cannot identify or address disparities in outcomes experienced by people with different types of disabilities, from various ethnic minorities, or living in different geographic areas (e.g., rural vs. urban).</w:t>
      </w:r>
    </w:p>
    <w:p w14:paraId="461C8127" w14:textId="77777777" w:rsidR="00EF6ECD" w:rsidRDefault="00381B85" w:rsidP="00CC12C3">
      <w:pPr>
        <w:spacing w:line="360" w:lineRule="auto"/>
        <w:jc w:val="both"/>
        <w:rPr>
          <w:rFonts w:ascii="Arial" w:hAnsi="Arial" w:cs="Arial"/>
          <w:sz w:val="24"/>
          <w:szCs w:val="24"/>
        </w:rPr>
      </w:pPr>
      <w:r w:rsidRPr="008F4295">
        <w:rPr>
          <w:rFonts w:ascii="Arial" w:hAnsi="Arial" w:cs="Arial"/>
          <w:sz w:val="24"/>
          <w:szCs w:val="24"/>
        </w:rPr>
        <w:t xml:space="preserve">Elsewhere in the UK, research has identified more specialised tools that offer promising models for outcome measurement. For example, Scotland’s Personal Outcomes Evaluation Tool (POET), developed collaboratively with </w:t>
      </w:r>
      <w:r w:rsidR="004F719F">
        <w:rPr>
          <w:rFonts w:ascii="Arial" w:hAnsi="Arial" w:cs="Arial"/>
          <w:sz w:val="24"/>
          <w:szCs w:val="24"/>
        </w:rPr>
        <w:t>people who draw on care and support</w:t>
      </w:r>
      <w:r w:rsidRPr="008F4295">
        <w:rPr>
          <w:rFonts w:ascii="Arial" w:hAnsi="Arial" w:cs="Arial"/>
          <w:sz w:val="24"/>
          <w:szCs w:val="24"/>
        </w:rPr>
        <w:t>, exemplifies an approach centred on capturing autonomy, control, and well-being within a rights-based legislative framework (Hatton, 2015). Studies show that this co-produced model emphasizes individual perspectives and experiences, facilitating a deeper understanding of SDS’s impact (Waters and Hatton, 2014).</w:t>
      </w:r>
      <w:r w:rsidR="00EC50DC" w:rsidRPr="008F4295">
        <w:rPr>
          <w:rFonts w:ascii="Arial" w:hAnsi="Arial" w:cs="Arial"/>
          <w:sz w:val="24"/>
          <w:szCs w:val="24"/>
        </w:rPr>
        <w:t xml:space="preserve"> The co-production methodology behind POET is itself an inclusive practice, but its transferability requires ensuring that </w:t>
      </w:r>
      <w:r w:rsidR="00A57FCB" w:rsidRPr="008F4295">
        <w:rPr>
          <w:rFonts w:ascii="Arial" w:hAnsi="Arial" w:cs="Arial"/>
          <w:sz w:val="24"/>
          <w:szCs w:val="24"/>
        </w:rPr>
        <w:t>people who draw on care and support</w:t>
      </w:r>
      <w:r w:rsidR="00EC50DC" w:rsidRPr="008F4295">
        <w:rPr>
          <w:rFonts w:ascii="Arial" w:hAnsi="Arial" w:cs="Arial"/>
          <w:sz w:val="24"/>
          <w:szCs w:val="24"/>
        </w:rPr>
        <w:t xml:space="preserve"> involved in any adaptation in N</w:t>
      </w:r>
      <w:r w:rsidR="0023336B">
        <w:rPr>
          <w:rFonts w:ascii="Arial" w:hAnsi="Arial" w:cs="Arial"/>
          <w:sz w:val="24"/>
          <w:szCs w:val="24"/>
        </w:rPr>
        <w:t>orthern Ireland</w:t>
      </w:r>
      <w:r w:rsidR="00EC50DC" w:rsidRPr="008F4295">
        <w:rPr>
          <w:rFonts w:ascii="Arial" w:hAnsi="Arial" w:cs="Arial"/>
          <w:sz w:val="24"/>
          <w:szCs w:val="24"/>
        </w:rPr>
        <w:t xml:space="preserve"> represent the full diversity of the population, including those with communication support needs and from minority ethnic communities.</w:t>
      </w:r>
      <w:r w:rsidRPr="008F4295">
        <w:rPr>
          <w:rFonts w:ascii="Arial" w:hAnsi="Arial" w:cs="Arial"/>
          <w:sz w:val="24"/>
          <w:szCs w:val="24"/>
        </w:rPr>
        <w:t xml:space="preserve"> Similarly, the Scottish Care Inspectorate’s measurement framework integrates organisational accountability and workforce readiness alongside direct service outcomes, reflecting the embedded nature of SDS in Scottish policy. </w:t>
      </w:r>
    </w:p>
    <w:p w14:paraId="7AC138A1" w14:textId="78E6B78C" w:rsidR="00381B85" w:rsidRPr="008F4295" w:rsidRDefault="00381B85" w:rsidP="00CC12C3">
      <w:pPr>
        <w:spacing w:line="360" w:lineRule="auto"/>
        <w:jc w:val="both"/>
        <w:rPr>
          <w:rFonts w:ascii="Arial" w:hAnsi="Arial" w:cs="Arial"/>
          <w:sz w:val="24"/>
          <w:szCs w:val="24"/>
        </w:rPr>
      </w:pPr>
      <w:r w:rsidRPr="008F4295">
        <w:rPr>
          <w:rFonts w:ascii="Arial" w:hAnsi="Arial" w:cs="Arial"/>
          <w:sz w:val="24"/>
          <w:szCs w:val="24"/>
        </w:rPr>
        <w:t>In England, the Adult Social Care Outcomes Toolkit (ASCOT) has been used to provide a broader assessment of social care-related quality of life, including dignity, social participation, and safety, though it has been critiqued for insufficiently capturing the granularity of choice and control fundamental to SDS (Rand et al., 2023; Netten et al., 2012).</w:t>
      </w:r>
      <w:r w:rsidR="00EC50DC" w:rsidRPr="008F4295">
        <w:rPr>
          <w:rFonts w:ascii="Arial" w:hAnsi="Arial" w:cs="Arial"/>
          <w:sz w:val="24"/>
          <w:szCs w:val="24"/>
        </w:rPr>
        <w:t xml:space="preserve"> ASCOT’s broad domains, such as 'social participation', must be critically examined for cultural relevance, whether the activities and connections valued are consistent across different communities</w:t>
      </w:r>
      <w:r w:rsidR="00DF7ED1" w:rsidRPr="008F4295">
        <w:rPr>
          <w:rFonts w:ascii="Arial" w:hAnsi="Arial" w:cs="Arial"/>
          <w:sz w:val="24"/>
          <w:szCs w:val="24"/>
        </w:rPr>
        <w:t xml:space="preserve">, </w:t>
      </w:r>
      <w:r w:rsidR="00EC50DC" w:rsidRPr="008F4295">
        <w:rPr>
          <w:rFonts w:ascii="Arial" w:hAnsi="Arial" w:cs="Arial"/>
          <w:sz w:val="24"/>
          <w:szCs w:val="24"/>
        </w:rPr>
        <w:t>to avoid imposing a single cultural definition of a 'good outcome'</w:t>
      </w:r>
      <w:r w:rsidR="00DF7ED1" w:rsidRPr="008F4295">
        <w:rPr>
          <w:rFonts w:ascii="Arial" w:hAnsi="Arial" w:cs="Arial"/>
          <w:sz w:val="24"/>
          <w:szCs w:val="24"/>
        </w:rPr>
        <w:t xml:space="preserve"> (See Appendix1)</w:t>
      </w:r>
      <w:r w:rsidR="00EC50DC" w:rsidRPr="008F4295">
        <w:rPr>
          <w:rFonts w:ascii="Arial" w:hAnsi="Arial" w:cs="Arial"/>
          <w:sz w:val="24"/>
          <w:szCs w:val="24"/>
        </w:rPr>
        <w:t>.</w:t>
      </w:r>
    </w:p>
    <w:p w14:paraId="09A6F08D" w14:textId="315A7FD4" w:rsidR="00F142BA" w:rsidRDefault="00381B85" w:rsidP="00CC12C3">
      <w:pPr>
        <w:spacing w:line="360" w:lineRule="auto"/>
        <w:jc w:val="both"/>
        <w:rPr>
          <w:rFonts w:ascii="Arial" w:hAnsi="Arial" w:cs="Arial"/>
        </w:rPr>
      </w:pPr>
      <w:r w:rsidRPr="008F4295">
        <w:rPr>
          <w:rFonts w:ascii="Arial" w:hAnsi="Arial" w:cs="Arial"/>
          <w:sz w:val="24"/>
          <w:szCs w:val="24"/>
        </w:rPr>
        <w:t xml:space="preserve">International evidence further contributes to our understanding of SDS outcome measurement. Tools such as the Consumer Assessment of Healthcare Providers and Systems (CAHPS) from the US and the Client-Centred Care Questionnaire (CCCQ) from the Netherlands have been used to assess user experiences of autonomy and </w:t>
      </w:r>
      <w:r w:rsidRPr="008F4295">
        <w:rPr>
          <w:rFonts w:ascii="Arial" w:hAnsi="Arial" w:cs="Arial"/>
          <w:sz w:val="24"/>
          <w:szCs w:val="24"/>
        </w:rPr>
        <w:lastRenderedPageBreak/>
        <w:t xml:space="preserve">satisfaction with care delivery. The WHO’s Quality of Life assessments have also been implemented to evaluate well-being holistically, notably in Australia’s National Disability Insurance Scheme (NDIS) (AHRQ, 2020; </w:t>
      </w:r>
      <w:proofErr w:type="spellStart"/>
      <w:r w:rsidRPr="008F4295">
        <w:rPr>
          <w:rFonts w:ascii="Arial" w:hAnsi="Arial" w:cs="Arial"/>
          <w:sz w:val="24"/>
          <w:szCs w:val="24"/>
        </w:rPr>
        <w:t>Boelsma</w:t>
      </w:r>
      <w:proofErr w:type="spellEnd"/>
      <w:r w:rsidRPr="008F4295">
        <w:rPr>
          <w:rFonts w:ascii="Arial" w:hAnsi="Arial" w:cs="Arial"/>
          <w:sz w:val="24"/>
          <w:szCs w:val="24"/>
        </w:rPr>
        <w:t xml:space="preserve"> et al., 2014; WHO, 2021). These instruments underscore the importance of qualitative and experiential data in assessing outcomes, though they require careful adaptation to Northern Ireland’s distinct context.</w:t>
      </w:r>
      <w:r w:rsidR="00EC50DC" w:rsidRPr="008F4295">
        <w:rPr>
          <w:rFonts w:ascii="Arial" w:hAnsi="Arial" w:cs="Arial"/>
          <w:sz w:val="24"/>
          <w:szCs w:val="24"/>
        </w:rPr>
        <w:t xml:space="preserve"> This adaptation is an EDI imperative. It must involve translating materials, ensuring cultural concepts of ‘care’ and ‘well-being’ are accurately reflected, and validating the tools with people from all backgrounds to ensure they are not only translated but are truly valid and meaningful across different communities</w:t>
      </w:r>
      <w:r w:rsidR="00EC50DC" w:rsidRPr="00EC50DC">
        <w:rPr>
          <w:rFonts w:ascii="Arial" w:hAnsi="Arial" w:cs="Arial"/>
        </w:rPr>
        <w:t>.</w:t>
      </w:r>
    </w:p>
    <w:p w14:paraId="58A515F6" w14:textId="77777777" w:rsidR="00F142BA" w:rsidRPr="00893E72" w:rsidRDefault="00F142BA" w:rsidP="00893E72">
      <w:pPr>
        <w:spacing w:line="276" w:lineRule="auto"/>
        <w:rPr>
          <w:rFonts w:ascii="Arial" w:hAnsi="Arial" w:cs="Arial"/>
          <w:sz w:val="21"/>
          <w:szCs w:val="21"/>
        </w:rPr>
      </w:pPr>
      <w:r w:rsidRPr="00893E72">
        <w:rPr>
          <w:rStyle w:val="Strong"/>
          <w:rFonts w:ascii="Arial" w:hAnsi="Arial" w:cs="Arial"/>
          <w:color w:val="0F1115"/>
          <w:sz w:val="21"/>
          <w:szCs w:val="21"/>
        </w:rPr>
        <w:t>Table 1: Comparative Overview of Selected Outcome Measurement Tools</w:t>
      </w:r>
    </w:p>
    <w:tbl>
      <w:tblPr>
        <w:tblStyle w:val="TableGrid"/>
        <w:tblW w:w="10490" w:type="dxa"/>
        <w:tblInd w:w="-714" w:type="dxa"/>
        <w:tblLook w:val="04A0" w:firstRow="1" w:lastRow="0" w:firstColumn="1" w:lastColumn="0" w:noHBand="0" w:noVBand="1"/>
      </w:tblPr>
      <w:tblGrid>
        <w:gridCol w:w="2539"/>
        <w:gridCol w:w="1642"/>
        <w:gridCol w:w="2328"/>
        <w:gridCol w:w="1789"/>
        <w:gridCol w:w="2192"/>
      </w:tblGrid>
      <w:tr w:rsidR="00CB5130" w:rsidRPr="00893E72" w14:paraId="1FF0330A" w14:textId="77777777" w:rsidTr="00893E72">
        <w:tc>
          <w:tcPr>
            <w:tcW w:w="2539" w:type="dxa"/>
          </w:tcPr>
          <w:p w14:paraId="2251578E" w14:textId="446FB6F8" w:rsidR="00F142BA" w:rsidRPr="00893E72" w:rsidRDefault="00F142BA" w:rsidP="00893E72">
            <w:pPr>
              <w:spacing w:line="276" w:lineRule="auto"/>
              <w:rPr>
                <w:rFonts w:ascii="Arial" w:hAnsi="Arial" w:cs="Arial"/>
                <w:b/>
                <w:bCs/>
                <w:sz w:val="21"/>
                <w:szCs w:val="21"/>
              </w:rPr>
            </w:pPr>
            <w:r w:rsidRPr="00893E72">
              <w:rPr>
                <w:rFonts w:ascii="Arial" w:hAnsi="Arial" w:cs="Arial"/>
                <w:b/>
                <w:bCs/>
                <w:color w:val="0F1115"/>
                <w:sz w:val="21"/>
                <w:szCs w:val="21"/>
                <w:shd w:val="clear" w:color="auto" w:fill="FFFFFF"/>
              </w:rPr>
              <w:t>Tool Name &amp; Origin</w:t>
            </w:r>
          </w:p>
        </w:tc>
        <w:tc>
          <w:tcPr>
            <w:tcW w:w="1642" w:type="dxa"/>
          </w:tcPr>
          <w:p w14:paraId="2598B35C" w14:textId="22E7E054" w:rsidR="00F142BA" w:rsidRPr="00893E72" w:rsidRDefault="00F142BA" w:rsidP="00893E72">
            <w:pPr>
              <w:spacing w:line="276" w:lineRule="auto"/>
              <w:rPr>
                <w:rFonts w:ascii="Arial" w:hAnsi="Arial" w:cs="Arial"/>
                <w:b/>
                <w:bCs/>
                <w:sz w:val="21"/>
                <w:szCs w:val="21"/>
              </w:rPr>
            </w:pPr>
            <w:r w:rsidRPr="00893E72">
              <w:rPr>
                <w:rFonts w:ascii="Arial" w:hAnsi="Arial" w:cs="Arial"/>
                <w:b/>
                <w:bCs/>
                <w:color w:val="0F1115"/>
                <w:sz w:val="21"/>
                <w:szCs w:val="21"/>
                <w:shd w:val="clear" w:color="auto" w:fill="FFFFFF"/>
              </w:rPr>
              <w:t>Primary Focus</w:t>
            </w:r>
          </w:p>
        </w:tc>
        <w:tc>
          <w:tcPr>
            <w:tcW w:w="2328" w:type="dxa"/>
          </w:tcPr>
          <w:p w14:paraId="6E25A2EA" w14:textId="5D7C2554" w:rsidR="00F142BA" w:rsidRPr="00893E72" w:rsidRDefault="00F142BA" w:rsidP="00893E72">
            <w:pPr>
              <w:spacing w:line="276" w:lineRule="auto"/>
              <w:rPr>
                <w:rFonts w:ascii="Arial" w:hAnsi="Arial" w:cs="Arial"/>
                <w:b/>
                <w:bCs/>
                <w:sz w:val="21"/>
                <w:szCs w:val="21"/>
              </w:rPr>
            </w:pPr>
            <w:r w:rsidRPr="00893E72">
              <w:rPr>
                <w:rFonts w:ascii="Arial" w:hAnsi="Arial" w:cs="Arial"/>
                <w:b/>
                <w:bCs/>
                <w:color w:val="0F1115"/>
                <w:sz w:val="21"/>
                <w:szCs w:val="21"/>
                <w:shd w:val="clear" w:color="auto" w:fill="FFFFFF"/>
              </w:rPr>
              <w:t>Key Domains Measured</w:t>
            </w:r>
          </w:p>
        </w:tc>
        <w:tc>
          <w:tcPr>
            <w:tcW w:w="1789" w:type="dxa"/>
          </w:tcPr>
          <w:p w14:paraId="34E7EAB0" w14:textId="7FA64C6B" w:rsidR="00F142BA" w:rsidRPr="00893E72" w:rsidRDefault="00F142BA" w:rsidP="00893E72">
            <w:pPr>
              <w:spacing w:line="276" w:lineRule="auto"/>
              <w:rPr>
                <w:rFonts w:ascii="Arial" w:hAnsi="Arial" w:cs="Arial"/>
                <w:b/>
                <w:bCs/>
                <w:sz w:val="21"/>
                <w:szCs w:val="21"/>
              </w:rPr>
            </w:pPr>
            <w:r w:rsidRPr="00893E72">
              <w:rPr>
                <w:rFonts w:ascii="Arial" w:hAnsi="Arial" w:cs="Arial"/>
                <w:b/>
                <w:bCs/>
                <w:color w:val="0F1115"/>
                <w:sz w:val="21"/>
                <w:szCs w:val="21"/>
                <w:shd w:val="clear" w:color="auto" w:fill="FFFFFF"/>
              </w:rPr>
              <w:t>Implementation Approach</w:t>
            </w:r>
          </w:p>
        </w:tc>
        <w:tc>
          <w:tcPr>
            <w:tcW w:w="2192" w:type="dxa"/>
          </w:tcPr>
          <w:p w14:paraId="40232932" w14:textId="7D86DBF2" w:rsidR="00F142BA" w:rsidRPr="00893E72" w:rsidRDefault="00F142BA" w:rsidP="00893E72">
            <w:pPr>
              <w:spacing w:line="276" w:lineRule="auto"/>
              <w:rPr>
                <w:rFonts w:ascii="Arial" w:hAnsi="Arial" w:cs="Arial"/>
                <w:b/>
                <w:bCs/>
                <w:sz w:val="21"/>
                <w:szCs w:val="21"/>
              </w:rPr>
            </w:pPr>
            <w:r w:rsidRPr="00893E72">
              <w:rPr>
                <w:rFonts w:ascii="Arial" w:hAnsi="Arial" w:cs="Arial"/>
                <w:b/>
                <w:bCs/>
                <w:color w:val="0F1115"/>
                <w:sz w:val="21"/>
                <w:szCs w:val="21"/>
                <w:shd w:val="clear" w:color="auto" w:fill="FFFFFF"/>
              </w:rPr>
              <w:t>Key Consideration for NI</w:t>
            </w:r>
          </w:p>
        </w:tc>
      </w:tr>
      <w:tr w:rsidR="00CB5130" w:rsidRPr="00893E72" w14:paraId="0796F8CE" w14:textId="77777777" w:rsidTr="00893E72">
        <w:tc>
          <w:tcPr>
            <w:tcW w:w="2539" w:type="dxa"/>
          </w:tcPr>
          <w:p w14:paraId="5CE2D23C" w14:textId="75EC92B1" w:rsidR="00F142BA" w:rsidRPr="00893E72" w:rsidRDefault="00F142BA" w:rsidP="00893E72">
            <w:pPr>
              <w:spacing w:line="276" w:lineRule="auto"/>
              <w:rPr>
                <w:rFonts w:ascii="Arial" w:hAnsi="Arial" w:cs="Arial"/>
                <w:sz w:val="21"/>
                <w:szCs w:val="21"/>
              </w:rPr>
            </w:pPr>
            <w:r w:rsidRPr="00893E72">
              <w:rPr>
                <w:rStyle w:val="Strong"/>
                <w:rFonts w:ascii="Arial" w:hAnsi="Arial" w:cs="Arial"/>
                <w:color w:val="0F1115"/>
                <w:sz w:val="21"/>
                <w:szCs w:val="21"/>
              </w:rPr>
              <w:t>NISAT</w:t>
            </w:r>
            <w:r w:rsidRPr="00893E72">
              <w:rPr>
                <w:rStyle w:val="apple-converted-space"/>
                <w:rFonts w:ascii="Arial" w:hAnsi="Arial" w:cs="Arial"/>
                <w:color w:val="0F1115"/>
                <w:sz w:val="21"/>
                <w:szCs w:val="21"/>
              </w:rPr>
              <w:t> </w:t>
            </w:r>
            <w:r w:rsidRPr="00893E72">
              <w:rPr>
                <w:rFonts w:ascii="Arial" w:hAnsi="Arial" w:cs="Arial"/>
                <w:color w:val="0F1115"/>
                <w:sz w:val="21"/>
                <w:szCs w:val="21"/>
              </w:rPr>
              <w:t>(NI)</w:t>
            </w:r>
          </w:p>
        </w:tc>
        <w:tc>
          <w:tcPr>
            <w:tcW w:w="1642" w:type="dxa"/>
          </w:tcPr>
          <w:p w14:paraId="04A82C34" w14:textId="05F3D934" w:rsidR="00F142BA" w:rsidRPr="00893E72" w:rsidRDefault="00CB5130"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Holistic needs assessment for care planning.</w:t>
            </w:r>
          </w:p>
        </w:tc>
        <w:tc>
          <w:tcPr>
            <w:tcW w:w="2328" w:type="dxa"/>
          </w:tcPr>
          <w:p w14:paraId="42B489A7" w14:textId="199B6FD6" w:rsidR="00F142BA" w:rsidRPr="00893E72" w:rsidRDefault="00CB5130"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Mental health, mobility, communication, decision-making capacity</w:t>
            </w:r>
          </w:p>
        </w:tc>
        <w:tc>
          <w:tcPr>
            <w:tcW w:w="1789" w:type="dxa"/>
          </w:tcPr>
          <w:p w14:paraId="23119F71" w14:textId="5D16562D" w:rsidR="00F142BA" w:rsidRPr="00893E72" w:rsidRDefault="00893E72"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Strengths-based assessment conducted by professionals.</w:t>
            </w:r>
          </w:p>
        </w:tc>
        <w:tc>
          <w:tcPr>
            <w:tcW w:w="2192" w:type="dxa"/>
          </w:tcPr>
          <w:p w14:paraId="761E685F" w14:textId="76EC3214" w:rsidR="00F142BA" w:rsidRPr="00893E72" w:rsidRDefault="00893E72"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Foundational for assessment but not designed for tracking SDS-specific outcomes over time</w:t>
            </w:r>
          </w:p>
        </w:tc>
      </w:tr>
      <w:tr w:rsidR="00CB5130" w:rsidRPr="00893E72" w14:paraId="7296D58E" w14:textId="77777777" w:rsidTr="00893E72">
        <w:tc>
          <w:tcPr>
            <w:tcW w:w="2539" w:type="dxa"/>
          </w:tcPr>
          <w:p w14:paraId="45D3A6B7" w14:textId="12AA4024" w:rsidR="00F142BA" w:rsidRPr="00893E72" w:rsidRDefault="00F142BA" w:rsidP="00893E72">
            <w:pPr>
              <w:spacing w:line="276" w:lineRule="auto"/>
              <w:rPr>
                <w:rFonts w:ascii="Arial" w:hAnsi="Arial" w:cs="Arial"/>
                <w:sz w:val="21"/>
                <w:szCs w:val="21"/>
              </w:rPr>
            </w:pPr>
            <w:r w:rsidRPr="00893E72">
              <w:rPr>
                <w:rStyle w:val="Strong"/>
                <w:rFonts w:ascii="Arial" w:hAnsi="Arial" w:cs="Arial"/>
                <w:color w:val="0F1115"/>
                <w:sz w:val="21"/>
                <w:szCs w:val="21"/>
              </w:rPr>
              <w:t>POET</w:t>
            </w:r>
            <w:r w:rsidRPr="00893E72">
              <w:rPr>
                <w:rStyle w:val="apple-converted-space"/>
                <w:rFonts w:ascii="Arial" w:hAnsi="Arial" w:cs="Arial"/>
                <w:color w:val="0F1115"/>
                <w:sz w:val="21"/>
                <w:szCs w:val="21"/>
              </w:rPr>
              <w:t> </w:t>
            </w:r>
            <w:r w:rsidRPr="00893E72">
              <w:rPr>
                <w:rFonts w:ascii="Arial" w:hAnsi="Arial" w:cs="Arial"/>
                <w:color w:val="0F1115"/>
                <w:sz w:val="21"/>
                <w:szCs w:val="21"/>
              </w:rPr>
              <w:t>(Scotland)</w:t>
            </w:r>
          </w:p>
        </w:tc>
        <w:tc>
          <w:tcPr>
            <w:tcW w:w="1642" w:type="dxa"/>
          </w:tcPr>
          <w:p w14:paraId="63AF96F1" w14:textId="2887BDFD" w:rsidR="00F142BA" w:rsidRPr="00893E72" w:rsidRDefault="00CB5130"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Personal outcomes of SDS.</w:t>
            </w:r>
          </w:p>
        </w:tc>
        <w:tc>
          <w:tcPr>
            <w:tcW w:w="2328" w:type="dxa"/>
          </w:tcPr>
          <w:p w14:paraId="623E7AEF" w14:textId="777DA62E" w:rsidR="00F142BA" w:rsidRPr="00893E72" w:rsidRDefault="00CB5130"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Choice and control, independence, social participation, well-being.</w:t>
            </w:r>
          </w:p>
        </w:tc>
        <w:tc>
          <w:tcPr>
            <w:tcW w:w="1789" w:type="dxa"/>
          </w:tcPr>
          <w:p w14:paraId="11FF056F" w14:textId="19D4D51A" w:rsidR="00F142BA" w:rsidRPr="00893E72" w:rsidRDefault="00893E72"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Co-produced with users; often used as a pre/post questionnaire.</w:t>
            </w:r>
          </w:p>
        </w:tc>
        <w:tc>
          <w:tcPr>
            <w:tcW w:w="2192" w:type="dxa"/>
          </w:tcPr>
          <w:p w14:paraId="7F80284C" w14:textId="43620470" w:rsidR="00F142BA" w:rsidRPr="00893E72" w:rsidRDefault="00893E72"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Gold standard for co-production; requires a cultural shift towards user-led evaluation.</w:t>
            </w:r>
          </w:p>
        </w:tc>
      </w:tr>
      <w:tr w:rsidR="00CB5130" w:rsidRPr="00893E72" w14:paraId="0B937EDF" w14:textId="77777777" w:rsidTr="00893E72">
        <w:tc>
          <w:tcPr>
            <w:tcW w:w="2539" w:type="dxa"/>
          </w:tcPr>
          <w:p w14:paraId="1F8BA2CC" w14:textId="61550A58" w:rsidR="00F142BA" w:rsidRPr="00893E72" w:rsidRDefault="00F142BA" w:rsidP="00893E72">
            <w:pPr>
              <w:spacing w:line="276" w:lineRule="auto"/>
              <w:rPr>
                <w:rFonts w:ascii="Arial" w:hAnsi="Arial" w:cs="Arial"/>
                <w:sz w:val="21"/>
                <w:szCs w:val="21"/>
              </w:rPr>
            </w:pPr>
            <w:r w:rsidRPr="00893E72">
              <w:rPr>
                <w:rStyle w:val="Strong"/>
                <w:rFonts w:ascii="Arial" w:hAnsi="Arial" w:cs="Arial"/>
                <w:color w:val="0F1115"/>
                <w:sz w:val="21"/>
                <w:szCs w:val="21"/>
              </w:rPr>
              <w:t>ASCOT</w:t>
            </w:r>
            <w:r w:rsidRPr="00893E72">
              <w:rPr>
                <w:rStyle w:val="apple-converted-space"/>
                <w:rFonts w:ascii="Arial" w:hAnsi="Arial" w:cs="Arial"/>
                <w:color w:val="0F1115"/>
                <w:sz w:val="21"/>
                <w:szCs w:val="21"/>
              </w:rPr>
              <w:t> </w:t>
            </w:r>
            <w:r w:rsidRPr="00893E72">
              <w:rPr>
                <w:rFonts w:ascii="Arial" w:hAnsi="Arial" w:cs="Arial"/>
                <w:color w:val="0F1115"/>
                <w:sz w:val="21"/>
                <w:szCs w:val="21"/>
              </w:rPr>
              <w:t>(England)</w:t>
            </w:r>
          </w:p>
        </w:tc>
        <w:tc>
          <w:tcPr>
            <w:tcW w:w="1642" w:type="dxa"/>
          </w:tcPr>
          <w:p w14:paraId="4AF1297A" w14:textId="068A5DB1" w:rsidR="00F142BA" w:rsidRPr="00893E72" w:rsidRDefault="00CB5130"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Social care-related quality of life.</w:t>
            </w:r>
          </w:p>
        </w:tc>
        <w:tc>
          <w:tcPr>
            <w:tcW w:w="2328" w:type="dxa"/>
          </w:tcPr>
          <w:p w14:paraId="20D0FE18" w14:textId="71B4B4C5" w:rsidR="00F142BA" w:rsidRPr="00893E72" w:rsidRDefault="00CB5130"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Dignity, personal safety, social participation, control over daily life.</w:t>
            </w:r>
          </w:p>
        </w:tc>
        <w:tc>
          <w:tcPr>
            <w:tcW w:w="1789" w:type="dxa"/>
          </w:tcPr>
          <w:p w14:paraId="0CB0B138" w14:textId="428EDB2F" w:rsidR="00F142BA" w:rsidRPr="00893E72" w:rsidRDefault="00893E72"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Licensed toolkit with standardised questionnaires (self-complete or interview).</w:t>
            </w:r>
          </w:p>
        </w:tc>
        <w:tc>
          <w:tcPr>
            <w:tcW w:w="2192" w:type="dxa"/>
          </w:tcPr>
          <w:p w14:paraId="718B644B" w14:textId="78AB884F" w:rsidR="00F142BA" w:rsidRPr="00893E72" w:rsidRDefault="00893E72"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Well-validated but may not be granular enough for SDS; requires a license fee.</w:t>
            </w:r>
          </w:p>
        </w:tc>
      </w:tr>
      <w:tr w:rsidR="00CB5130" w:rsidRPr="00893E72" w14:paraId="7474C913" w14:textId="77777777" w:rsidTr="00893E72">
        <w:tc>
          <w:tcPr>
            <w:tcW w:w="2539" w:type="dxa"/>
          </w:tcPr>
          <w:p w14:paraId="3476DA99" w14:textId="7CDB465B" w:rsidR="00F142BA" w:rsidRPr="00893E72" w:rsidRDefault="00CB5130" w:rsidP="00893E72">
            <w:pPr>
              <w:spacing w:line="276" w:lineRule="auto"/>
              <w:rPr>
                <w:rFonts w:ascii="Arial" w:hAnsi="Arial" w:cs="Arial"/>
                <w:sz w:val="21"/>
                <w:szCs w:val="21"/>
              </w:rPr>
            </w:pPr>
            <w:r w:rsidRPr="00893E72">
              <w:rPr>
                <w:rStyle w:val="Strong"/>
                <w:rFonts w:ascii="Arial" w:hAnsi="Arial" w:cs="Arial"/>
                <w:color w:val="0F1115"/>
                <w:sz w:val="21"/>
                <w:szCs w:val="21"/>
              </w:rPr>
              <w:t>CAHPS</w:t>
            </w:r>
            <w:r w:rsidRPr="00893E72">
              <w:rPr>
                <w:rStyle w:val="apple-converted-space"/>
                <w:rFonts w:ascii="Arial" w:hAnsi="Arial" w:cs="Arial"/>
                <w:color w:val="0F1115"/>
                <w:sz w:val="21"/>
                <w:szCs w:val="21"/>
              </w:rPr>
              <w:t> </w:t>
            </w:r>
            <w:r w:rsidRPr="00893E72">
              <w:rPr>
                <w:rFonts w:ascii="Arial" w:hAnsi="Arial" w:cs="Arial"/>
                <w:color w:val="0F1115"/>
                <w:sz w:val="21"/>
                <w:szCs w:val="21"/>
              </w:rPr>
              <w:t>(US)</w:t>
            </w:r>
          </w:p>
        </w:tc>
        <w:tc>
          <w:tcPr>
            <w:tcW w:w="1642" w:type="dxa"/>
          </w:tcPr>
          <w:p w14:paraId="4EACF227" w14:textId="41752B3F" w:rsidR="00F142BA" w:rsidRPr="00893E72" w:rsidRDefault="00CB5130"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Patient/user experience of care.</w:t>
            </w:r>
          </w:p>
        </w:tc>
        <w:tc>
          <w:tcPr>
            <w:tcW w:w="2328" w:type="dxa"/>
          </w:tcPr>
          <w:p w14:paraId="5BD2A273" w14:textId="5A806FCF" w:rsidR="00F142BA" w:rsidRPr="00893E72" w:rsidRDefault="00CB5130"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Communication, respect, timeliness, shared decision-making.</w:t>
            </w:r>
          </w:p>
        </w:tc>
        <w:tc>
          <w:tcPr>
            <w:tcW w:w="1789" w:type="dxa"/>
          </w:tcPr>
          <w:p w14:paraId="3AAEFF47" w14:textId="74DFE14E" w:rsidR="00F142BA" w:rsidRPr="00893E72" w:rsidRDefault="00893E72"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Standardised surveys for benchmarking performance of care providers.</w:t>
            </w:r>
          </w:p>
        </w:tc>
        <w:tc>
          <w:tcPr>
            <w:tcW w:w="2192" w:type="dxa"/>
          </w:tcPr>
          <w:p w14:paraId="6684170A" w14:textId="410205E3" w:rsidR="00F142BA" w:rsidRPr="00893E72" w:rsidRDefault="00893E72"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Focuses on experience of services received, rather than personal outcomes achieved.</w:t>
            </w:r>
          </w:p>
        </w:tc>
      </w:tr>
      <w:tr w:rsidR="00CB5130" w:rsidRPr="00893E72" w14:paraId="4AA339E8" w14:textId="77777777" w:rsidTr="00893E72">
        <w:tc>
          <w:tcPr>
            <w:tcW w:w="2539" w:type="dxa"/>
          </w:tcPr>
          <w:p w14:paraId="3F52D411" w14:textId="448FFEB0" w:rsidR="00F142BA" w:rsidRPr="00893E72" w:rsidRDefault="00CB5130" w:rsidP="00893E72">
            <w:pPr>
              <w:spacing w:line="276" w:lineRule="auto"/>
              <w:rPr>
                <w:rFonts w:ascii="Arial" w:hAnsi="Arial" w:cs="Arial"/>
                <w:sz w:val="21"/>
                <w:szCs w:val="21"/>
              </w:rPr>
            </w:pPr>
            <w:r w:rsidRPr="00893E72">
              <w:rPr>
                <w:rStyle w:val="Strong"/>
                <w:rFonts w:ascii="Arial" w:hAnsi="Arial" w:cs="Arial"/>
                <w:color w:val="0F1115"/>
                <w:sz w:val="21"/>
                <w:szCs w:val="21"/>
              </w:rPr>
              <w:t>WHOQOL</w:t>
            </w:r>
            <w:r w:rsidRPr="00893E72">
              <w:rPr>
                <w:rStyle w:val="apple-converted-space"/>
                <w:rFonts w:ascii="Arial" w:hAnsi="Arial" w:cs="Arial"/>
                <w:color w:val="0F1115"/>
                <w:sz w:val="21"/>
                <w:szCs w:val="21"/>
              </w:rPr>
              <w:t> </w:t>
            </w:r>
            <w:r w:rsidRPr="00893E72">
              <w:rPr>
                <w:rFonts w:ascii="Arial" w:hAnsi="Arial" w:cs="Arial"/>
                <w:color w:val="0F1115"/>
                <w:sz w:val="21"/>
                <w:szCs w:val="21"/>
              </w:rPr>
              <w:t>(International)</w:t>
            </w:r>
          </w:p>
        </w:tc>
        <w:tc>
          <w:tcPr>
            <w:tcW w:w="1642" w:type="dxa"/>
          </w:tcPr>
          <w:p w14:paraId="679E54E2" w14:textId="3ECAEC66" w:rsidR="00F142BA" w:rsidRPr="00893E72" w:rsidRDefault="00CB5130"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Holistic quality of life.</w:t>
            </w:r>
          </w:p>
        </w:tc>
        <w:tc>
          <w:tcPr>
            <w:tcW w:w="2328" w:type="dxa"/>
          </w:tcPr>
          <w:p w14:paraId="402B5198" w14:textId="00402F76" w:rsidR="00F142BA" w:rsidRPr="00893E72" w:rsidRDefault="00CB5130"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Physical health, psychological, social relationships, environment.</w:t>
            </w:r>
          </w:p>
        </w:tc>
        <w:tc>
          <w:tcPr>
            <w:tcW w:w="1789" w:type="dxa"/>
          </w:tcPr>
          <w:p w14:paraId="58E618D9" w14:textId="4699F42A" w:rsidR="00F142BA" w:rsidRPr="00893E72" w:rsidRDefault="00893E72"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Generic assessment not specific to care; can be self-complete or interviewed.</w:t>
            </w:r>
          </w:p>
        </w:tc>
        <w:tc>
          <w:tcPr>
            <w:tcW w:w="2192" w:type="dxa"/>
          </w:tcPr>
          <w:p w14:paraId="0E541480" w14:textId="6B93E016" w:rsidR="00F142BA" w:rsidRPr="00893E72" w:rsidRDefault="00893E72" w:rsidP="00893E72">
            <w:pPr>
              <w:spacing w:line="276" w:lineRule="auto"/>
              <w:rPr>
                <w:rFonts w:ascii="Arial" w:hAnsi="Arial" w:cs="Arial"/>
                <w:sz w:val="21"/>
                <w:szCs w:val="21"/>
              </w:rPr>
            </w:pPr>
            <w:r w:rsidRPr="00893E72">
              <w:rPr>
                <w:rFonts w:ascii="Arial" w:hAnsi="Arial" w:cs="Arial"/>
                <w:color w:val="0F1115"/>
                <w:sz w:val="21"/>
                <w:szCs w:val="21"/>
                <w:shd w:val="clear" w:color="auto" w:fill="FFFFFF"/>
              </w:rPr>
              <w:t>Very broad; not specific to social care or SDS, so may lack sensitivity to change.</w:t>
            </w:r>
          </w:p>
        </w:tc>
      </w:tr>
    </w:tbl>
    <w:p w14:paraId="4C8453C8" w14:textId="77777777" w:rsidR="00F142BA" w:rsidRDefault="00F142BA" w:rsidP="00381B85">
      <w:pPr>
        <w:spacing w:line="360" w:lineRule="auto"/>
        <w:rPr>
          <w:rFonts w:ascii="Arial" w:hAnsi="Arial" w:cs="Arial"/>
        </w:rPr>
      </w:pPr>
    </w:p>
    <w:p w14:paraId="140D24F0" w14:textId="6B92C482" w:rsidR="00381B85" w:rsidRPr="008F4295" w:rsidRDefault="00381B85" w:rsidP="00334F09">
      <w:pPr>
        <w:spacing w:line="360" w:lineRule="auto"/>
        <w:jc w:val="both"/>
        <w:rPr>
          <w:rFonts w:ascii="Arial" w:hAnsi="Arial" w:cs="Arial"/>
          <w:sz w:val="24"/>
          <w:szCs w:val="24"/>
        </w:rPr>
      </w:pPr>
      <w:r w:rsidRPr="008F4295">
        <w:rPr>
          <w:rFonts w:ascii="Arial" w:hAnsi="Arial" w:cs="Arial"/>
          <w:sz w:val="24"/>
          <w:szCs w:val="24"/>
        </w:rPr>
        <w:lastRenderedPageBreak/>
        <w:t xml:space="preserve">Regarding transferability, while frameworks like POET and ASCOT offer valuable conceptual and methodological insights, the evidence indicates that their direct application in Northern Ireland requires significant contextual adaptation. POET’s co-production ethos necessitates a cultural shift toward greater user involvement and service responsiveness, which has yet to be fully realised in Northern Ireland’s more transactional SDS environment (Chapman, 2018). ASCOT’s broad domains may overlook region-specific systemic issues such as political fragility, rural workforce shortages, and limited market diversity (Forder et al., 2016). Similarly, international tools like CAHPS and CCCQ assume relatively stable care markets and informed users, conditions often lacking in Northern Ireland’s fractured social care landscape. These tools therefore require adaptation to capture locally salient issues such as fear of reporting poor care or limited readiness for managed budgets (AHRQ, 2020; </w:t>
      </w:r>
      <w:proofErr w:type="spellStart"/>
      <w:r w:rsidRPr="008F4295">
        <w:rPr>
          <w:rFonts w:ascii="Arial" w:hAnsi="Arial" w:cs="Arial"/>
          <w:sz w:val="24"/>
          <w:szCs w:val="24"/>
        </w:rPr>
        <w:t>Boelsma</w:t>
      </w:r>
      <w:proofErr w:type="spellEnd"/>
      <w:r w:rsidRPr="008F4295">
        <w:rPr>
          <w:rFonts w:ascii="Arial" w:hAnsi="Arial" w:cs="Arial"/>
          <w:sz w:val="24"/>
          <w:szCs w:val="24"/>
        </w:rPr>
        <w:t xml:space="preserve"> et al., 2014; Hughes, 2024; HSCB, 2016).</w:t>
      </w:r>
    </w:p>
    <w:p w14:paraId="574EBBE4" w14:textId="2226D620" w:rsidR="00381B85" w:rsidRPr="008F4295" w:rsidRDefault="00381B85" w:rsidP="00334F09">
      <w:pPr>
        <w:spacing w:line="360" w:lineRule="auto"/>
        <w:jc w:val="both"/>
        <w:rPr>
          <w:rFonts w:ascii="Arial" w:hAnsi="Arial" w:cs="Arial"/>
          <w:sz w:val="24"/>
          <w:szCs w:val="24"/>
        </w:rPr>
      </w:pPr>
      <w:r w:rsidRPr="008F4295">
        <w:rPr>
          <w:rFonts w:ascii="Arial" w:hAnsi="Arial" w:cs="Arial"/>
          <w:sz w:val="24"/>
          <w:szCs w:val="24"/>
        </w:rPr>
        <w:t xml:space="preserve">The evidence clearly indicates that to effectively measure SDS outcomes in Northern Ireland, a bespoke framework is needed, one that blends the co-production values and </w:t>
      </w:r>
      <w:r w:rsidR="00572528">
        <w:rPr>
          <w:rFonts w:ascii="Arial" w:hAnsi="Arial" w:cs="Arial"/>
          <w:sz w:val="24"/>
          <w:szCs w:val="24"/>
        </w:rPr>
        <w:t>person</w:t>
      </w:r>
      <w:r w:rsidRPr="008F4295">
        <w:rPr>
          <w:rFonts w:ascii="Arial" w:hAnsi="Arial" w:cs="Arial"/>
          <w:sz w:val="24"/>
          <w:szCs w:val="24"/>
        </w:rPr>
        <w:t>-centred focus of leading UK models with context-specific indicators that reflect Northern Ireland’s political, social, and market realities (Taylor, 2011; Chapman, 2019: Hughes, 2024). This framework should incorporate political resilience metrics to assess SDS stability amid governance fluctuations, rural-specific modules to capture access inequalities, and explicit measures of advocacy and brokerage availability to address critical support deficits (</w:t>
      </w:r>
      <w:proofErr w:type="spellStart"/>
      <w:r w:rsidRPr="008F4295">
        <w:rPr>
          <w:rFonts w:ascii="Arial" w:hAnsi="Arial" w:cs="Arial"/>
          <w:sz w:val="24"/>
          <w:szCs w:val="24"/>
        </w:rPr>
        <w:t>DoH</w:t>
      </w:r>
      <w:proofErr w:type="spellEnd"/>
      <w:r w:rsidRPr="008F4295">
        <w:rPr>
          <w:rFonts w:ascii="Arial" w:hAnsi="Arial" w:cs="Arial"/>
          <w:sz w:val="24"/>
          <w:szCs w:val="24"/>
        </w:rPr>
        <w:t xml:space="preserve"> NI, 2017). Moreover, it must prioritise qualitative, person-centred outcome measurement alongside quantitative metrics to reflect the true diversity of </w:t>
      </w:r>
      <w:r w:rsidR="0007057F">
        <w:rPr>
          <w:rFonts w:ascii="Arial" w:hAnsi="Arial" w:cs="Arial"/>
          <w:sz w:val="24"/>
          <w:szCs w:val="24"/>
        </w:rPr>
        <w:t>individual</w:t>
      </w:r>
      <w:r w:rsidRPr="008F4295">
        <w:rPr>
          <w:rFonts w:ascii="Arial" w:hAnsi="Arial" w:cs="Arial"/>
          <w:sz w:val="24"/>
          <w:szCs w:val="24"/>
        </w:rPr>
        <w:t xml:space="preserve"> experiences and aspirations (Chapman, 2018; Hughes, 2024).</w:t>
      </w:r>
      <w:r w:rsidR="00EC50DC" w:rsidRPr="008F4295">
        <w:rPr>
          <w:sz w:val="24"/>
          <w:szCs w:val="24"/>
        </w:rPr>
        <w:t xml:space="preserve"> </w:t>
      </w:r>
      <w:r w:rsidR="00EC50DC" w:rsidRPr="008F4295">
        <w:rPr>
          <w:rFonts w:ascii="Arial" w:hAnsi="Arial" w:cs="Arial"/>
          <w:sz w:val="24"/>
          <w:szCs w:val="24"/>
        </w:rPr>
        <w:t>For this framework to be equitable, the 'context-specific indicators' must be equality indicators. The framework must mandate the disaggregation of outcome data by Section 75 categories (e.g., religion, political opinion, race, age, disability, rural/urban). This is the only way to move from asking "are outcomes improving on average?" to the more critical EDI question: "are outcomes improving for everyone, and if not, who is being left behind?"</w:t>
      </w:r>
    </w:p>
    <w:p w14:paraId="2DCF0CE1" w14:textId="3A522B55" w:rsidR="00381B85" w:rsidRPr="008F4295" w:rsidRDefault="00381B85" w:rsidP="00334F09">
      <w:pPr>
        <w:spacing w:line="360" w:lineRule="auto"/>
        <w:jc w:val="both"/>
        <w:rPr>
          <w:rFonts w:ascii="Arial" w:hAnsi="Arial" w:cs="Arial"/>
          <w:sz w:val="24"/>
          <w:szCs w:val="24"/>
        </w:rPr>
      </w:pPr>
      <w:r w:rsidRPr="008F4295">
        <w:rPr>
          <w:rFonts w:ascii="Arial" w:hAnsi="Arial" w:cs="Arial"/>
          <w:sz w:val="24"/>
          <w:szCs w:val="24"/>
        </w:rPr>
        <w:t xml:space="preserve">Such an approach would allow Northern Ireland to move beyond counting service inputs and compliance toward evaluating the substantive changes SDS makes in </w:t>
      </w:r>
      <w:r w:rsidRPr="008F4295">
        <w:rPr>
          <w:rFonts w:ascii="Arial" w:hAnsi="Arial" w:cs="Arial"/>
          <w:sz w:val="24"/>
          <w:szCs w:val="24"/>
        </w:rPr>
        <w:lastRenderedPageBreak/>
        <w:t>people’s lives, thereby fulfilling its promise as a transformative model of social care rooted in empowerment, personalisation, and human rights.</w:t>
      </w:r>
      <w:r w:rsidR="00EC50DC" w:rsidRPr="008F4295">
        <w:rPr>
          <w:sz w:val="24"/>
          <w:szCs w:val="24"/>
        </w:rPr>
        <w:t xml:space="preserve"> </w:t>
      </w:r>
      <w:r w:rsidR="00EC50DC" w:rsidRPr="008F4295">
        <w:rPr>
          <w:rFonts w:ascii="Arial" w:hAnsi="Arial" w:cs="Arial"/>
          <w:sz w:val="24"/>
          <w:szCs w:val="24"/>
        </w:rPr>
        <w:t>Ultimately, an outcomes framework that does not actively measure and promote equality, diversity, and inclusion cannot be considered truly person-centred or rights-based, as it risks benefiting the most confident and resourced individuals while leaving the most vulnerable behind.</w:t>
      </w:r>
    </w:p>
    <w:p w14:paraId="097D0526" w14:textId="4FAE820A" w:rsidR="00FB1C90" w:rsidRPr="008F4295" w:rsidRDefault="00FB1C90" w:rsidP="00FB1C90">
      <w:pPr>
        <w:pStyle w:val="Heading1"/>
        <w:rPr>
          <w:sz w:val="24"/>
          <w:szCs w:val="24"/>
        </w:rPr>
      </w:pPr>
      <w:r w:rsidRPr="008F4295">
        <w:rPr>
          <w:sz w:val="24"/>
          <w:szCs w:val="24"/>
        </w:rPr>
        <w:t>Key Enablers and Barriers to Embedding SDS Outcome Measurement Tools in Northern Ireland</w:t>
      </w:r>
    </w:p>
    <w:p w14:paraId="40B8680F" w14:textId="77777777" w:rsidR="007A53C0" w:rsidRPr="008F4295" w:rsidRDefault="007A53C0" w:rsidP="00FB1C90">
      <w:pPr>
        <w:spacing w:line="360" w:lineRule="auto"/>
        <w:jc w:val="both"/>
        <w:rPr>
          <w:rFonts w:ascii="Arial" w:hAnsi="Arial" w:cs="Arial"/>
          <w:bCs/>
          <w:sz w:val="24"/>
          <w:szCs w:val="24"/>
        </w:rPr>
      </w:pPr>
      <w:r w:rsidRPr="008F4295">
        <w:rPr>
          <w:rFonts w:ascii="Arial" w:hAnsi="Arial" w:cs="Arial"/>
          <w:bCs/>
          <w:sz w:val="24"/>
          <w:szCs w:val="24"/>
        </w:rPr>
        <w:t>The embedding of outcome measurement tools within Self-Directed Support (SDS) in Northern Ireland represents a critical step toward ensuring that the principles of autonomy, choice, and personalised care translate into tangible improvements in people’s lives. Evidence suggests that while a number of cultural, policy, and practice-level factors enable progress, a complex set of structural and systemic barriers continue to undermine the consistent and equitable development of SDS outcome measurement (Hughes, 2024; Taylor, 2012).</w:t>
      </w:r>
    </w:p>
    <w:p w14:paraId="4F34B81E" w14:textId="77777777" w:rsidR="00B927F8" w:rsidRPr="008F4295" w:rsidRDefault="00B927F8" w:rsidP="00155904">
      <w:pPr>
        <w:pStyle w:val="Heading3"/>
      </w:pPr>
      <w:r w:rsidRPr="008F4295">
        <w:t>Key Enablers</w:t>
      </w:r>
    </w:p>
    <w:p w14:paraId="68F6267E" w14:textId="593A7C21" w:rsidR="00B927F8" w:rsidRPr="00B927F8" w:rsidRDefault="00B927F8" w:rsidP="00B927F8">
      <w:pPr>
        <w:spacing w:line="360" w:lineRule="auto"/>
        <w:jc w:val="both"/>
        <w:rPr>
          <w:rFonts w:ascii="Arial" w:hAnsi="Arial" w:cs="Arial"/>
          <w:bCs/>
          <w:sz w:val="24"/>
          <w:szCs w:val="24"/>
        </w:rPr>
      </w:pPr>
      <w:r w:rsidRPr="00B927F8">
        <w:rPr>
          <w:rFonts w:ascii="Arial" w:hAnsi="Arial" w:cs="Arial"/>
          <w:bCs/>
          <w:sz w:val="24"/>
          <w:szCs w:val="24"/>
        </w:rPr>
        <w:t>At the philosophical level, SDS is underpinned by a strong commitment to flexibility, choice, and control. Studies show these values are deeply valued by people who draw on care and support, fostering a person-centred culture in which outcome measurement can be meaningfully embedded (Hughes, 2024).</w:t>
      </w:r>
      <w:r w:rsidR="00205273">
        <w:rPr>
          <w:rFonts w:ascii="Arial" w:hAnsi="Arial" w:cs="Arial"/>
          <w:bCs/>
          <w:sz w:val="24"/>
          <w:szCs w:val="24"/>
        </w:rPr>
        <w:t xml:space="preserve"> </w:t>
      </w:r>
      <w:r w:rsidRPr="00B927F8">
        <w:rPr>
          <w:rFonts w:ascii="Arial" w:hAnsi="Arial" w:cs="Arial"/>
          <w:bCs/>
          <w:sz w:val="24"/>
          <w:szCs w:val="24"/>
        </w:rPr>
        <w:t xml:space="preserve">Co-production represents </w:t>
      </w:r>
      <w:r w:rsidR="00205273">
        <w:rPr>
          <w:rFonts w:ascii="Arial" w:hAnsi="Arial" w:cs="Arial"/>
          <w:bCs/>
          <w:sz w:val="24"/>
          <w:szCs w:val="24"/>
        </w:rPr>
        <w:t>a</w:t>
      </w:r>
      <w:r w:rsidRPr="00B927F8">
        <w:rPr>
          <w:rFonts w:ascii="Arial" w:hAnsi="Arial" w:cs="Arial"/>
          <w:bCs/>
          <w:sz w:val="24"/>
          <w:szCs w:val="24"/>
        </w:rPr>
        <w:t xml:space="preserve"> critical enabler. Evidence demonstrates that when people who draw on care and support, along with carers, are directly involved in designing measurement tools, the resulting frameworks are more relevant, accessible, and empowering (Manthorpe et al., 2015; Rand et al., 2017). This participatory approach mitigates tokenism and mistrust, reframing measurement as a mechanism for amplifying user voices rather than fulfilling bureaucratic requirements (</w:t>
      </w:r>
      <w:proofErr w:type="spellStart"/>
      <w:r w:rsidRPr="00B927F8">
        <w:rPr>
          <w:rFonts w:ascii="Arial" w:hAnsi="Arial" w:cs="Arial"/>
          <w:bCs/>
          <w:sz w:val="24"/>
          <w:szCs w:val="24"/>
        </w:rPr>
        <w:t>DoH</w:t>
      </w:r>
      <w:proofErr w:type="spellEnd"/>
      <w:r w:rsidRPr="00B927F8">
        <w:rPr>
          <w:rFonts w:ascii="Arial" w:hAnsi="Arial" w:cs="Arial"/>
          <w:bCs/>
          <w:sz w:val="24"/>
          <w:szCs w:val="24"/>
        </w:rPr>
        <w:t xml:space="preserve"> NI, 2017).</w:t>
      </w:r>
    </w:p>
    <w:p w14:paraId="4EC92C4D" w14:textId="77777777" w:rsidR="00D54C45" w:rsidRDefault="00EA4293" w:rsidP="00B927F8">
      <w:pPr>
        <w:spacing w:line="360" w:lineRule="auto"/>
        <w:jc w:val="both"/>
        <w:rPr>
          <w:rFonts w:ascii="Arial" w:hAnsi="Arial" w:cs="Arial"/>
          <w:bCs/>
          <w:sz w:val="24"/>
          <w:szCs w:val="24"/>
        </w:rPr>
      </w:pPr>
      <w:r w:rsidRPr="00EA4293">
        <w:rPr>
          <w:rFonts w:ascii="Arial" w:hAnsi="Arial" w:cs="Arial"/>
          <w:bCs/>
          <w:sz w:val="24"/>
          <w:szCs w:val="24"/>
        </w:rPr>
        <w:t>Policy reform efforts also present an opportunity. Unlike Scotland, where SDS is supported by a dedicated legislative framework and embedded evaluation structures, Northern Ireland continues to operate within a fragmented and ambiguous policy context (</w:t>
      </w:r>
      <w:proofErr w:type="spellStart"/>
      <w:r w:rsidRPr="00EA4293">
        <w:rPr>
          <w:rFonts w:ascii="Arial" w:hAnsi="Arial" w:cs="Arial"/>
          <w:bCs/>
          <w:sz w:val="24"/>
          <w:szCs w:val="24"/>
        </w:rPr>
        <w:t>DoH</w:t>
      </w:r>
      <w:proofErr w:type="spellEnd"/>
      <w:r w:rsidRPr="00EA4293">
        <w:rPr>
          <w:rFonts w:ascii="Arial" w:hAnsi="Arial" w:cs="Arial"/>
          <w:bCs/>
          <w:sz w:val="24"/>
          <w:szCs w:val="24"/>
        </w:rPr>
        <w:t xml:space="preserve"> NI, 2022; Hughes, 2024). The absence of clear statutory direction has </w:t>
      </w:r>
      <w:r w:rsidRPr="00EA4293">
        <w:rPr>
          <w:rFonts w:ascii="Arial" w:hAnsi="Arial" w:cs="Arial"/>
          <w:bCs/>
          <w:sz w:val="24"/>
          <w:szCs w:val="24"/>
        </w:rPr>
        <w:lastRenderedPageBreak/>
        <w:t xml:space="preserve">contributed to inconsistent practice across Trusts and limited the prioritisation of outcome measurement. However, the current social care reform agenda is reported to signal a shift toward more coherent strategic planning and provides a potential window to address these shortcomings. Initiatives such as </w:t>
      </w:r>
      <w:r w:rsidRPr="00D54C45">
        <w:rPr>
          <w:rFonts w:ascii="Arial" w:hAnsi="Arial" w:cs="Arial"/>
          <w:bCs/>
          <w:sz w:val="24"/>
          <w:szCs w:val="24"/>
        </w:rPr>
        <w:t>the IMPACT Managed Budget project demonstrate an appetite within Health and Social</w:t>
      </w:r>
      <w:r w:rsidRPr="00EA4293">
        <w:rPr>
          <w:rFonts w:ascii="Arial" w:hAnsi="Arial" w:cs="Arial"/>
          <w:bCs/>
          <w:sz w:val="24"/>
          <w:szCs w:val="24"/>
        </w:rPr>
        <w:t xml:space="preserve"> Care Trusts to experiment with new models of personalisation and accountability. These pilots not only test operational feasibility but could also serve as a legislative and organisational platform for embedding standardised outcome frameworks across the region. If aligned with reform efforts, such initiatives could help create a more consistent, accountable, and equitable approach to SDS outcomes, ensuring that measurement tools are not seen as optional add-ons but as integral to the delivery of personalised care (Hughes, 2024).</w:t>
      </w:r>
    </w:p>
    <w:p w14:paraId="3ECC2255" w14:textId="77777777" w:rsidR="004E01A0" w:rsidRPr="004E01A0" w:rsidRDefault="004E01A0" w:rsidP="004E01A0">
      <w:pPr>
        <w:spacing w:line="360" w:lineRule="auto"/>
        <w:jc w:val="both"/>
        <w:rPr>
          <w:rFonts w:ascii="Arial" w:hAnsi="Arial" w:cs="Arial"/>
          <w:bCs/>
          <w:sz w:val="24"/>
          <w:szCs w:val="24"/>
        </w:rPr>
      </w:pPr>
      <w:r w:rsidRPr="004E01A0">
        <w:rPr>
          <w:rFonts w:ascii="Arial" w:hAnsi="Arial" w:cs="Arial"/>
          <w:sz w:val="24"/>
          <w:szCs w:val="24"/>
        </w:rPr>
        <w:t>Cross-sector collaboration further strengthens the enabling environment. Evidence shows that partnerships</w:t>
      </w:r>
      <w:r w:rsidRPr="004E01A0">
        <w:rPr>
          <w:rFonts w:ascii="Arial" w:hAnsi="Arial" w:cs="Arial"/>
          <w:bCs/>
          <w:sz w:val="24"/>
          <w:szCs w:val="24"/>
        </w:rPr>
        <w:t xml:space="preserve"> between Health and Social Care Trusts, government bodies, academic researchers, service providers, and technology innovators can combine diverse expertise to develop pragmatic and scalable solutions for SDS outcome measurement (Connolly, 2023; Needham &amp; Hall, 2023). For example, collaborative initiatives can support the creation of digital platforms that capture qualitative and quantitative outcomes in real time, enabling more responsive and adaptive service delivery. Beyond technology, these partnerships are crucial for ensuring that measurement tools are culturally and contextually appropriate, reflecting Northern Ireland’s unique social, political, and demographic landscape, and addressing local needs and inequities.</w:t>
      </w:r>
    </w:p>
    <w:p w14:paraId="3D0F0C35" w14:textId="2A1FF03C" w:rsidR="007A53C0" w:rsidRPr="006953CB" w:rsidRDefault="004E01A0" w:rsidP="00FB1C90">
      <w:pPr>
        <w:spacing w:line="360" w:lineRule="auto"/>
        <w:jc w:val="both"/>
        <w:rPr>
          <w:rFonts w:ascii="Arial" w:hAnsi="Arial" w:cs="Arial"/>
          <w:bCs/>
          <w:sz w:val="24"/>
          <w:szCs w:val="24"/>
        </w:rPr>
      </w:pPr>
      <w:r>
        <w:rPr>
          <w:rFonts w:ascii="Arial" w:hAnsi="Arial" w:cs="Arial"/>
          <w:sz w:val="24"/>
          <w:szCs w:val="24"/>
        </w:rPr>
        <w:t>Finally, w</w:t>
      </w:r>
      <w:r w:rsidRPr="004E01A0">
        <w:rPr>
          <w:rFonts w:ascii="Arial" w:hAnsi="Arial" w:cs="Arial"/>
          <w:sz w:val="24"/>
          <w:szCs w:val="24"/>
        </w:rPr>
        <w:t>orkforce capability</w:t>
      </w:r>
      <w:r w:rsidRPr="004E01A0">
        <w:rPr>
          <w:rFonts w:ascii="Arial" w:hAnsi="Arial" w:cs="Arial"/>
          <w:bCs/>
          <w:sz w:val="24"/>
          <w:szCs w:val="24"/>
        </w:rPr>
        <w:t xml:space="preserve"> is a decisive enabler for embedding outcome measurement. Investment in comprehensive training programmes strengthens practitioners’ skills in outcome-focused conversations, reflective practice, and culturally competent communication (Hughes, 2024). Skilled staff are better equipped to engage with </w:t>
      </w:r>
      <w:r w:rsidR="00B568AF">
        <w:rPr>
          <w:rFonts w:ascii="Arial" w:hAnsi="Arial" w:cs="Arial"/>
          <w:bCs/>
          <w:sz w:val="24"/>
          <w:szCs w:val="24"/>
        </w:rPr>
        <w:t>people who draw on care and support</w:t>
      </w:r>
      <w:r w:rsidRPr="004E01A0">
        <w:rPr>
          <w:rFonts w:ascii="Arial" w:hAnsi="Arial" w:cs="Arial"/>
          <w:bCs/>
          <w:sz w:val="24"/>
          <w:szCs w:val="24"/>
        </w:rPr>
        <w:t xml:space="preserve"> meaningfully, understand individual goals, and capture diverse, person-centred outcomes. Adequate staffing levels and continuity in relationships are equally important, as they allow practitioners to build trust, maintain ongoing dialogue, and conduct assessments that genuinely </w:t>
      </w:r>
      <w:r w:rsidRPr="004E01A0">
        <w:rPr>
          <w:rFonts w:ascii="Arial" w:hAnsi="Arial" w:cs="Arial"/>
          <w:bCs/>
          <w:sz w:val="24"/>
          <w:szCs w:val="24"/>
        </w:rPr>
        <w:lastRenderedPageBreak/>
        <w:t>reflect the lived experiences and priorities of service users (Duffy, 2018). Without these capacities, even well-designed outcome tools risk underutilisation or superficial application.</w:t>
      </w:r>
    </w:p>
    <w:p w14:paraId="20993AD4" w14:textId="1B4DED7F" w:rsidR="00334F09" w:rsidRPr="006953CB" w:rsidRDefault="00334F09" w:rsidP="00FB1C90">
      <w:pPr>
        <w:spacing w:line="360" w:lineRule="auto"/>
        <w:jc w:val="both"/>
        <w:rPr>
          <w:rFonts w:ascii="Arial" w:hAnsi="Arial" w:cs="Arial"/>
          <w:b/>
          <w:sz w:val="24"/>
          <w:szCs w:val="24"/>
        </w:rPr>
      </w:pPr>
      <w:r w:rsidRPr="006953CB">
        <w:rPr>
          <w:rFonts w:ascii="Arial" w:hAnsi="Arial" w:cs="Arial"/>
          <w:b/>
          <w:sz w:val="24"/>
          <w:szCs w:val="24"/>
        </w:rPr>
        <w:t>Table 2 Summary of key enablers and Barriers</w:t>
      </w:r>
    </w:p>
    <w:tbl>
      <w:tblPr>
        <w:tblStyle w:val="TableGrid"/>
        <w:tblW w:w="0" w:type="auto"/>
        <w:tblLook w:val="04A0" w:firstRow="1" w:lastRow="0" w:firstColumn="1" w:lastColumn="0" w:noHBand="0" w:noVBand="1"/>
      </w:tblPr>
      <w:tblGrid>
        <w:gridCol w:w="4508"/>
        <w:gridCol w:w="4508"/>
      </w:tblGrid>
      <w:tr w:rsidR="00334F09" w14:paraId="60B7971A" w14:textId="77777777" w:rsidTr="00334F09">
        <w:tc>
          <w:tcPr>
            <w:tcW w:w="4508" w:type="dxa"/>
            <w:shd w:val="clear" w:color="auto" w:fill="8496B0" w:themeFill="text2" w:themeFillTint="99"/>
          </w:tcPr>
          <w:p w14:paraId="46E71904" w14:textId="5972FE71" w:rsidR="00334F09" w:rsidRPr="00334F09" w:rsidRDefault="00334F09" w:rsidP="00FB1C90">
            <w:pPr>
              <w:spacing w:line="360" w:lineRule="auto"/>
              <w:jc w:val="both"/>
              <w:rPr>
                <w:rFonts w:ascii="Arial" w:hAnsi="Arial" w:cs="Arial"/>
                <w:b/>
                <w:sz w:val="24"/>
                <w:szCs w:val="24"/>
              </w:rPr>
            </w:pPr>
            <w:r w:rsidRPr="00334F09">
              <w:rPr>
                <w:rFonts w:ascii="Arial" w:hAnsi="Arial" w:cs="Arial"/>
                <w:b/>
                <w:sz w:val="24"/>
                <w:szCs w:val="24"/>
              </w:rPr>
              <w:t>Enablers</w:t>
            </w:r>
          </w:p>
        </w:tc>
        <w:tc>
          <w:tcPr>
            <w:tcW w:w="4508" w:type="dxa"/>
            <w:shd w:val="clear" w:color="auto" w:fill="8496B0" w:themeFill="text2" w:themeFillTint="99"/>
          </w:tcPr>
          <w:p w14:paraId="2AB79ABA" w14:textId="4F8245DA" w:rsidR="00334F09" w:rsidRPr="00334F09" w:rsidRDefault="00334F09" w:rsidP="00FB1C90">
            <w:pPr>
              <w:spacing w:line="360" w:lineRule="auto"/>
              <w:jc w:val="both"/>
              <w:rPr>
                <w:rFonts w:ascii="Arial" w:hAnsi="Arial" w:cs="Arial"/>
                <w:b/>
                <w:sz w:val="24"/>
                <w:szCs w:val="24"/>
              </w:rPr>
            </w:pPr>
            <w:r w:rsidRPr="00334F09">
              <w:rPr>
                <w:rFonts w:ascii="Arial" w:hAnsi="Arial" w:cs="Arial"/>
                <w:b/>
                <w:sz w:val="24"/>
                <w:szCs w:val="24"/>
              </w:rPr>
              <w:t>Barriers</w:t>
            </w:r>
          </w:p>
        </w:tc>
      </w:tr>
      <w:tr w:rsidR="00334F09" w14:paraId="6D6FB5D9" w14:textId="77777777" w:rsidTr="00334F09">
        <w:tc>
          <w:tcPr>
            <w:tcW w:w="4508" w:type="dxa"/>
            <w:shd w:val="clear" w:color="auto" w:fill="D9E2F3" w:themeFill="accent1" w:themeFillTint="33"/>
          </w:tcPr>
          <w:p w14:paraId="7E2CAFDC" w14:textId="098571A3" w:rsidR="00334F09" w:rsidRPr="00334F09" w:rsidRDefault="00334F09" w:rsidP="00334F09">
            <w:pPr>
              <w:spacing w:line="276" w:lineRule="auto"/>
              <w:jc w:val="both"/>
              <w:rPr>
                <w:rFonts w:ascii="Arial" w:hAnsi="Arial" w:cs="Arial"/>
                <w:bCs/>
                <w:sz w:val="20"/>
                <w:szCs w:val="20"/>
              </w:rPr>
            </w:pPr>
            <w:r w:rsidRPr="00334F09">
              <w:rPr>
                <w:rStyle w:val="Strong"/>
                <w:rFonts w:ascii="Arial" w:hAnsi="Arial" w:cs="Arial"/>
                <w:color w:val="0F1115"/>
                <w:sz w:val="20"/>
                <w:szCs w:val="20"/>
              </w:rPr>
              <w:t>Person-Centred Culture:</w:t>
            </w:r>
            <w:r w:rsidRPr="00334F09">
              <w:rPr>
                <w:rStyle w:val="apple-converted-space"/>
                <w:rFonts w:ascii="Arial" w:hAnsi="Arial" w:cs="Arial"/>
                <w:color w:val="0F1115"/>
                <w:sz w:val="20"/>
                <w:szCs w:val="20"/>
              </w:rPr>
              <w:t> </w:t>
            </w:r>
            <w:r w:rsidRPr="00334F09">
              <w:rPr>
                <w:rFonts w:ascii="Arial" w:hAnsi="Arial" w:cs="Arial"/>
                <w:color w:val="0F1115"/>
                <w:sz w:val="20"/>
                <w:szCs w:val="20"/>
              </w:rPr>
              <w:t>Provides a foundation for measuring meaningful outcomes.</w:t>
            </w:r>
          </w:p>
        </w:tc>
        <w:tc>
          <w:tcPr>
            <w:tcW w:w="4508" w:type="dxa"/>
            <w:shd w:val="clear" w:color="auto" w:fill="D9E2F3" w:themeFill="accent1" w:themeFillTint="33"/>
          </w:tcPr>
          <w:p w14:paraId="13638EF3" w14:textId="27B8D695" w:rsidR="00334F09" w:rsidRPr="00334F09" w:rsidRDefault="00334F09" w:rsidP="00FB1C90">
            <w:pPr>
              <w:spacing w:line="360" w:lineRule="auto"/>
              <w:jc w:val="both"/>
              <w:rPr>
                <w:rFonts w:ascii="Arial" w:hAnsi="Arial" w:cs="Arial"/>
                <w:bCs/>
                <w:sz w:val="20"/>
                <w:szCs w:val="20"/>
              </w:rPr>
            </w:pPr>
            <w:r w:rsidRPr="00334F09">
              <w:rPr>
                <w:rStyle w:val="Strong"/>
                <w:rFonts w:ascii="Arial" w:hAnsi="Arial" w:cs="Arial"/>
                <w:color w:val="0F1115"/>
                <w:sz w:val="20"/>
                <w:szCs w:val="20"/>
              </w:rPr>
              <w:t>Chronic Underfunding:</w:t>
            </w:r>
            <w:r w:rsidRPr="00334F09">
              <w:rPr>
                <w:rStyle w:val="apple-converted-space"/>
                <w:rFonts w:ascii="Arial" w:hAnsi="Arial" w:cs="Arial"/>
                <w:color w:val="0F1115"/>
                <w:sz w:val="20"/>
                <w:szCs w:val="20"/>
              </w:rPr>
              <w:t> </w:t>
            </w:r>
            <w:r w:rsidRPr="00334F09">
              <w:rPr>
                <w:rFonts w:ascii="Arial" w:hAnsi="Arial" w:cs="Arial"/>
                <w:color w:val="0F1115"/>
                <w:sz w:val="20"/>
                <w:szCs w:val="20"/>
              </w:rPr>
              <w:t>Prioritizes cost containment over investment in outcomes.</w:t>
            </w:r>
          </w:p>
        </w:tc>
      </w:tr>
      <w:tr w:rsidR="00334F09" w14:paraId="4E3C0BDD" w14:textId="77777777" w:rsidTr="00334F09">
        <w:tc>
          <w:tcPr>
            <w:tcW w:w="4508" w:type="dxa"/>
            <w:shd w:val="clear" w:color="auto" w:fill="D9E2F3" w:themeFill="accent1" w:themeFillTint="33"/>
          </w:tcPr>
          <w:p w14:paraId="71A04129" w14:textId="2A28AD5D" w:rsidR="00334F09" w:rsidRPr="00334F09" w:rsidRDefault="00334F09" w:rsidP="00334F09">
            <w:pPr>
              <w:spacing w:line="276" w:lineRule="auto"/>
              <w:jc w:val="both"/>
              <w:rPr>
                <w:rFonts w:ascii="Arial" w:hAnsi="Arial" w:cs="Arial"/>
                <w:bCs/>
                <w:sz w:val="20"/>
                <w:szCs w:val="20"/>
              </w:rPr>
            </w:pPr>
            <w:r w:rsidRPr="00334F09">
              <w:rPr>
                <w:rStyle w:val="Strong"/>
                <w:rFonts w:ascii="Arial" w:hAnsi="Arial" w:cs="Arial"/>
                <w:color w:val="0F1115"/>
                <w:sz w:val="20"/>
                <w:szCs w:val="20"/>
              </w:rPr>
              <w:t>Co-Production:</w:t>
            </w:r>
            <w:r w:rsidRPr="00334F09">
              <w:rPr>
                <w:rStyle w:val="apple-converted-space"/>
                <w:rFonts w:ascii="Arial" w:hAnsi="Arial" w:cs="Arial"/>
                <w:color w:val="0F1115"/>
                <w:sz w:val="20"/>
                <w:szCs w:val="20"/>
              </w:rPr>
              <w:t> </w:t>
            </w:r>
            <w:r w:rsidRPr="00334F09">
              <w:rPr>
                <w:rFonts w:ascii="Arial" w:hAnsi="Arial" w:cs="Arial"/>
                <w:color w:val="0F1115"/>
                <w:sz w:val="20"/>
                <w:szCs w:val="20"/>
              </w:rPr>
              <w:t>Involving users ensures tools are relevant and empowering.</w:t>
            </w:r>
          </w:p>
        </w:tc>
        <w:tc>
          <w:tcPr>
            <w:tcW w:w="4508" w:type="dxa"/>
            <w:shd w:val="clear" w:color="auto" w:fill="D9E2F3" w:themeFill="accent1" w:themeFillTint="33"/>
          </w:tcPr>
          <w:p w14:paraId="2BF0C180" w14:textId="51794B79" w:rsidR="00334F09" w:rsidRPr="00334F09" w:rsidRDefault="00334F09" w:rsidP="00FB1C90">
            <w:pPr>
              <w:spacing w:line="360" w:lineRule="auto"/>
              <w:jc w:val="both"/>
              <w:rPr>
                <w:rFonts w:ascii="Arial" w:hAnsi="Arial" w:cs="Arial"/>
                <w:bCs/>
                <w:sz w:val="20"/>
                <w:szCs w:val="20"/>
              </w:rPr>
            </w:pPr>
            <w:r w:rsidRPr="00334F09">
              <w:rPr>
                <w:rStyle w:val="Strong"/>
                <w:rFonts w:ascii="Arial" w:hAnsi="Arial" w:cs="Arial"/>
                <w:color w:val="0F1115"/>
                <w:sz w:val="20"/>
                <w:szCs w:val="20"/>
              </w:rPr>
              <w:t>Lack of Unified Framework:</w:t>
            </w:r>
            <w:r w:rsidRPr="00334F09">
              <w:rPr>
                <w:rStyle w:val="apple-converted-space"/>
                <w:rFonts w:ascii="Arial" w:hAnsi="Arial" w:cs="Arial"/>
                <w:color w:val="0F1115"/>
                <w:sz w:val="20"/>
                <w:szCs w:val="20"/>
              </w:rPr>
              <w:t> </w:t>
            </w:r>
            <w:r w:rsidRPr="00334F09">
              <w:rPr>
                <w:rFonts w:ascii="Arial" w:hAnsi="Arial" w:cs="Arial"/>
                <w:color w:val="0F1115"/>
                <w:sz w:val="20"/>
                <w:szCs w:val="20"/>
              </w:rPr>
              <w:t>Leads to inconsistent data that cannot be compared.</w:t>
            </w:r>
          </w:p>
        </w:tc>
      </w:tr>
      <w:tr w:rsidR="00334F09" w14:paraId="53E0696F" w14:textId="77777777" w:rsidTr="00334F09">
        <w:tc>
          <w:tcPr>
            <w:tcW w:w="4508" w:type="dxa"/>
            <w:shd w:val="clear" w:color="auto" w:fill="D9E2F3" w:themeFill="accent1" w:themeFillTint="33"/>
          </w:tcPr>
          <w:p w14:paraId="709FF83F" w14:textId="72953239" w:rsidR="00334F09" w:rsidRPr="00334F09" w:rsidRDefault="00334F09" w:rsidP="00FB1C90">
            <w:pPr>
              <w:spacing w:line="360" w:lineRule="auto"/>
              <w:jc w:val="both"/>
              <w:rPr>
                <w:rFonts w:ascii="Arial" w:hAnsi="Arial" w:cs="Arial"/>
                <w:bCs/>
                <w:sz w:val="20"/>
                <w:szCs w:val="20"/>
              </w:rPr>
            </w:pPr>
            <w:r w:rsidRPr="00334F09">
              <w:rPr>
                <w:rStyle w:val="Strong"/>
                <w:rFonts w:ascii="Arial" w:hAnsi="Arial" w:cs="Arial"/>
                <w:color w:val="0F1115"/>
                <w:sz w:val="20"/>
                <w:szCs w:val="20"/>
              </w:rPr>
              <w:t>Collaboration:</w:t>
            </w:r>
            <w:r w:rsidRPr="00334F09">
              <w:rPr>
                <w:rStyle w:val="apple-converted-space"/>
                <w:rFonts w:ascii="Arial" w:hAnsi="Arial" w:cs="Arial"/>
                <w:color w:val="0F1115"/>
                <w:sz w:val="20"/>
                <w:szCs w:val="20"/>
              </w:rPr>
              <w:t> </w:t>
            </w:r>
            <w:r w:rsidRPr="00334F09">
              <w:rPr>
                <w:rFonts w:ascii="Arial" w:hAnsi="Arial" w:cs="Arial"/>
                <w:color w:val="0F1115"/>
                <w:sz w:val="20"/>
                <w:szCs w:val="20"/>
              </w:rPr>
              <w:t>Partnerships enable pragmatic, scalable tool development.</w:t>
            </w:r>
          </w:p>
        </w:tc>
        <w:tc>
          <w:tcPr>
            <w:tcW w:w="4508" w:type="dxa"/>
            <w:shd w:val="clear" w:color="auto" w:fill="D9E2F3" w:themeFill="accent1" w:themeFillTint="33"/>
          </w:tcPr>
          <w:p w14:paraId="4403765B" w14:textId="5159EA9B" w:rsidR="00334F09" w:rsidRPr="00334F09" w:rsidRDefault="00334F09" w:rsidP="00FB1C90">
            <w:pPr>
              <w:spacing w:line="360" w:lineRule="auto"/>
              <w:jc w:val="both"/>
              <w:rPr>
                <w:rFonts w:ascii="Arial" w:hAnsi="Arial" w:cs="Arial"/>
                <w:bCs/>
                <w:sz w:val="20"/>
                <w:szCs w:val="20"/>
              </w:rPr>
            </w:pPr>
            <w:r w:rsidRPr="00334F09">
              <w:rPr>
                <w:rStyle w:val="Strong"/>
                <w:rFonts w:ascii="Arial" w:hAnsi="Arial" w:cs="Arial"/>
                <w:color w:val="0F1115"/>
                <w:sz w:val="20"/>
                <w:szCs w:val="20"/>
              </w:rPr>
              <w:t>Workforce Shortages:</w:t>
            </w:r>
            <w:r w:rsidRPr="00334F09">
              <w:rPr>
                <w:rStyle w:val="apple-converted-space"/>
                <w:rFonts w:ascii="Arial" w:hAnsi="Arial" w:cs="Arial"/>
                <w:color w:val="0F1115"/>
                <w:sz w:val="20"/>
                <w:szCs w:val="20"/>
              </w:rPr>
              <w:t> </w:t>
            </w:r>
            <w:r w:rsidRPr="00334F09">
              <w:rPr>
                <w:rFonts w:ascii="Arial" w:hAnsi="Arial" w:cs="Arial"/>
                <w:color w:val="0F1115"/>
                <w:sz w:val="20"/>
                <w:szCs w:val="20"/>
              </w:rPr>
              <w:t>Limit capacity for reflective practice and detailed assessment.</w:t>
            </w:r>
          </w:p>
        </w:tc>
      </w:tr>
      <w:tr w:rsidR="00334F09" w14:paraId="73F9796D" w14:textId="77777777" w:rsidTr="00334F09">
        <w:tc>
          <w:tcPr>
            <w:tcW w:w="4508" w:type="dxa"/>
            <w:shd w:val="clear" w:color="auto" w:fill="D9E2F3" w:themeFill="accent1" w:themeFillTint="33"/>
          </w:tcPr>
          <w:p w14:paraId="6339A223" w14:textId="7ECA1647" w:rsidR="00334F09" w:rsidRPr="00334F09" w:rsidRDefault="00334F09" w:rsidP="00FB1C90">
            <w:pPr>
              <w:spacing w:line="360" w:lineRule="auto"/>
              <w:jc w:val="both"/>
              <w:rPr>
                <w:rFonts w:ascii="Arial" w:hAnsi="Arial" w:cs="Arial"/>
                <w:bCs/>
                <w:sz w:val="20"/>
                <w:szCs w:val="20"/>
              </w:rPr>
            </w:pPr>
            <w:r w:rsidRPr="00334F09">
              <w:rPr>
                <w:rStyle w:val="Strong"/>
                <w:rFonts w:ascii="Arial" w:hAnsi="Arial" w:cs="Arial"/>
                <w:color w:val="0F1115"/>
                <w:sz w:val="20"/>
                <w:szCs w:val="20"/>
              </w:rPr>
              <w:t>Workforce Training:</w:t>
            </w:r>
            <w:r w:rsidRPr="00334F09">
              <w:rPr>
                <w:rStyle w:val="apple-converted-space"/>
                <w:rFonts w:ascii="Arial" w:hAnsi="Arial" w:cs="Arial"/>
                <w:color w:val="0F1115"/>
                <w:sz w:val="20"/>
                <w:szCs w:val="20"/>
              </w:rPr>
              <w:t> </w:t>
            </w:r>
            <w:r w:rsidRPr="00334F09">
              <w:rPr>
                <w:rFonts w:ascii="Arial" w:hAnsi="Arial" w:cs="Arial"/>
                <w:color w:val="0F1115"/>
                <w:sz w:val="20"/>
                <w:szCs w:val="20"/>
              </w:rPr>
              <w:t>Essential for effective use of outcome measurement tools.</w:t>
            </w:r>
          </w:p>
        </w:tc>
        <w:tc>
          <w:tcPr>
            <w:tcW w:w="4508" w:type="dxa"/>
            <w:shd w:val="clear" w:color="auto" w:fill="D9E2F3" w:themeFill="accent1" w:themeFillTint="33"/>
          </w:tcPr>
          <w:p w14:paraId="350DF840" w14:textId="72A6745F" w:rsidR="00334F09" w:rsidRPr="00334F09" w:rsidRDefault="00334F09" w:rsidP="00FB1C90">
            <w:pPr>
              <w:spacing w:line="360" w:lineRule="auto"/>
              <w:jc w:val="both"/>
              <w:rPr>
                <w:rFonts w:ascii="Arial" w:hAnsi="Arial" w:cs="Arial"/>
                <w:bCs/>
                <w:sz w:val="20"/>
                <w:szCs w:val="20"/>
              </w:rPr>
            </w:pPr>
            <w:r w:rsidRPr="00334F09">
              <w:rPr>
                <w:rStyle w:val="Strong"/>
                <w:rFonts w:ascii="Arial" w:hAnsi="Arial" w:cs="Arial"/>
                <w:color w:val="0F1115"/>
                <w:sz w:val="20"/>
                <w:szCs w:val="20"/>
              </w:rPr>
              <w:t>Fragmented IT Systems:</w:t>
            </w:r>
            <w:r w:rsidRPr="00334F09">
              <w:rPr>
                <w:rStyle w:val="apple-converted-space"/>
                <w:rFonts w:ascii="Arial" w:hAnsi="Arial" w:cs="Arial"/>
                <w:color w:val="0F1115"/>
                <w:sz w:val="20"/>
                <w:szCs w:val="20"/>
              </w:rPr>
              <w:t> </w:t>
            </w:r>
            <w:r w:rsidRPr="00334F09">
              <w:rPr>
                <w:rFonts w:ascii="Arial" w:hAnsi="Arial" w:cs="Arial"/>
                <w:color w:val="0F1115"/>
                <w:sz w:val="20"/>
                <w:szCs w:val="20"/>
              </w:rPr>
              <w:t>Inhibit seamless data sharing and longitudinal tracking.</w:t>
            </w:r>
          </w:p>
        </w:tc>
      </w:tr>
      <w:tr w:rsidR="00334F09" w14:paraId="6DD1468A" w14:textId="77777777" w:rsidTr="00334F09">
        <w:tc>
          <w:tcPr>
            <w:tcW w:w="4508" w:type="dxa"/>
            <w:shd w:val="clear" w:color="auto" w:fill="D9E2F3" w:themeFill="accent1" w:themeFillTint="33"/>
          </w:tcPr>
          <w:p w14:paraId="44B4440E" w14:textId="31985859" w:rsidR="00334F09" w:rsidRPr="00334F09" w:rsidRDefault="00334F09" w:rsidP="00FB1C90">
            <w:pPr>
              <w:spacing w:line="360" w:lineRule="auto"/>
              <w:jc w:val="both"/>
              <w:rPr>
                <w:rFonts w:ascii="Arial" w:hAnsi="Arial" w:cs="Arial"/>
                <w:bCs/>
                <w:sz w:val="20"/>
                <w:szCs w:val="20"/>
              </w:rPr>
            </w:pPr>
            <w:r w:rsidRPr="00334F09">
              <w:rPr>
                <w:rStyle w:val="Strong"/>
                <w:rFonts w:ascii="Arial" w:hAnsi="Arial" w:cs="Arial"/>
                <w:color w:val="0F1115"/>
                <w:sz w:val="20"/>
                <w:szCs w:val="20"/>
              </w:rPr>
              <w:t>Digital Opportunities:</w:t>
            </w:r>
            <w:r w:rsidRPr="00334F09">
              <w:rPr>
                <w:rStyle w:val="apple-converted-space"/>
                <w:rFonts w:ascii="Arial" w:hAnsi="Arial" w:cs="Arial"/>
                <w:color w:val="0F1115"/>
                <w:sz w:val="20"/>
                <w:szCs w:val="20"/>
              </w:rPr>
              <w:t> </w:t>
            </w:r>
            <w:r w:rsidRPr="00334F09">
              <w:rPr>
                <w:rFonts w:ascii="Arial" w:hAnsi="Arial" w:cs="Arial"/>
                <w:color w:val="0F1115"/>
                <w:sz w:val="20"/>
                <w:szCs w:val="20"/>
              </w:rPr>
              <w:t>Systems like Encompass allow for standardized data collection.</w:t>
            </w:r>
          </w:p>
        </w:tc>
        <w:tc>
          <w:tcPr>
            <w:tcW w:w="4508" w:type="dxa"/>
            <w:shd w:val="clear" w:color="auto" w:fill="D9E2F3" w:themeFill="accent1" w:themeFillTint="33"/>
          </w:tcPr>
          <w:p w14:paraId="52A3B7DC" w14:textId="71B7F767" w:rsidR="00334F09" w:rsidRPr="00334F09" w:rsidRDefault="00334F09" w:rsidP="00FB1C90">
            <w:pPr>
              <w:spacing w:line="360" w:lineRule="auto"/>
              <w:jc w:val="both"/>
              <w:rPr>
                <w:rFonts w:ascii="Arial" w:hAnsi="Arial" w:cs="Arial"/>
                <w:bCs/>
                <w:sz w:val="20"/>
                <w:szCs w:val="20"/>
              </w:rPr>
            </w:pPr>
            <w:r w:rsidRPr="00334F09">
              <w:rPr>
                <w:rStyle w:val="Strong"/>
                <w:rFonts w:ascii="Arial" w:hAnsi="Arial" w:cs="Arial"/>
                <w:color w:val="0F1115"/>
                <w:sz w:val="20"/>
                <w:szCs w:val="20"/>
              </w:rPr>
              <w:t>Cultural Resistance:</w:t>
            </w:r>
            <w:r w:rsidRPr="00334F09">
              <w:rPr>
                <w:rStyle w:val="apple-converted-space"/>
                <w:rFonts w:ascii="Arial" w:hAnsi="Arial" w:cs="Arial"/>
                <w:color w:val="0F1115"/>
                <w:sz w:val="20"/>
                <w:szCs w:val="20"/>
              </w:rPr>
              <w:t> </w:t>
            </w:r>
            <w:r w:rsidRPr="00334F09">
              <w:rPr>
                <w:rFonts w:ascii="Arial" w:hAnsi="Arial" w:cs="Arial"/>
                <w:color w:val="0F1115"/>
                <w:sz w:val="20"/>
                <w:szCs w:val="20"/>
              </w:rPr>
              <w:t>Leads to a "tick-box" approach rather than meaningful use.</w:t>
            </w:r>
          </w:p>
        </w:tc>
      </w:tr>
      <w:tr w:rsidR="00334F09" w14:paraId="5639F273" w14:textId="77777777" w:rsidTr="00334F09">
        <w:tc>
          <w:tcPr>
            <w:tcW w:w="4508" w:type="dxa"/>
            <w:shd w:val="clear" w:color="auto" w:fill="D9E2F3" w:themeFill="accent1" w:themeFillTint="33"/>
          </w:tcPr>
          <w:p w14:paraId="108C1140" w14:textId="77777777" w:rsidR="00334F09" w:rsidRPr="00334F09" w:rsidRDefault="00334F09" w:rsidP="00FB1C90">
            <w:pPr>
              <w:spacing w:line="360" w:lineRule="auto"/>
              <w:jc w:val="both"/>
              <w:rPr>
                <w:rFonts w:ascii="Arial" w:hAnsi="Arial" w:cs="Arial"/>
                <w:bCs/>
                <w:sz w:val="20"/>
                <w:szCs w:val="20"/>
              </w:rPr>
            </w:pPr>
          </w:p>
        </w:tc>
        <w:tc>
          <w:tcPr>
            <w:tcW w:w="4508" w:type="dxa"/>
            <w:shd w:val="clear" w:color="auto" w:fill="D9E2F3" w:themeFill="accent1" w:themeFillTint="33"/>
          </w:tcPr>
          <w:p w14:paraId="687E7421" w14:textId="1F3D9EDA" w:rsidR="00334F09" w:rsidRPr="00334F09" w:rsidRDefault="00334F09" w:rsidP="00FB1C90">
            <w:pPr>
              <w:spacing w:line="360" w:lineRule="auto"/>
              <w:jc w:val="both"/>
              <w:rPr>
                <w:rFonts w:ascii="Arial" w:hAnsi="Arial" w:cs="Arial"/>
                <w:bCs/>
                <w:sz w:val="20"/>
                <w:szCs w:val="20"/>
              </w:rPr>
            </w:pPr>
            <w:r w:rsidRPr="00334F09">
              <w:rPr>
                <w:rStyle w:val="Strong"/>
                <w:rFonts w:ascii="Arial" w:hAnsi="Arial" w:cs="Arial"/>
                <w:color w:val="0F1115"/>
                <w:sz w:val="20"/>
                <w:szCs w:val="20"/>
              </w:rPr>
              <w:t>User Fear:</w:t>
            </w:r>
            <w:r w:rsidRPr="00334F09">
              <w:rPr>
                <w:rStyle w:val="apple-converted-space"/>
                <w:rFonts w:ascii="Arial" w:hAnsi="Arial" w:cs="Arial"/>
                <w:color w:val="0F1115"/>
                <w:sz w:val="20"/>
                <w:szCs w:val="20"/>
              </w:rPr>
              <w:t> </w:t>
            </w:r>
            <w:r w:rsidRPr="00334F09">
              <w:rPr>
                <w:rFonts w:ascii="Arial" w:hAnsi="Arial" w:cs="Arial"/>
                <w:color w:val="0F1115"/>
                <w:sz w:val="20"/>
                <w:szCs w:val="20"/>
              </w:rPr>
              <w:t>Inhibits honest feedback, distorting data and limiting learning.</w:t>
            </w:r>
          </w:p>
        </w:tc>
      </w:tr>
    </w:tbl>
    <w:p w14:paraId="13C76EF9" w14:textId="77777777" w:rsidR="00334F09" w:rsidRDefault="00334F09" w:rsidP="00FB1C90">
      <w:pPr>
        <w:spacing w:line="360" w:lineRule="auto"/>
        <w:jc w:val="both"/>
        <w:rPr>
          <w:rFonts w:ascii="Arial" w:hAnsi="Arial" w:cs="Arial"/>
          <w:bCs/>
        </w:rPr>
      </w:pPr>
    </w:p>
    <w:p w14:paraId="288E171A" w14:textId="77777777" w:rsidR="005F04A1" w:rsidRPr="008F4295" w:rsidRDefault="005F04A1" w:rsidP="00155904">
      <w:pPr>
        <w:pStyle w:val="Heading3"/>
      </w:pPr>
      <w:r w:rsidRPr="008F4295">
        <w:t>Key Barriers</w:t>
      </w:r>
    </w:p>
    <w:p w14:paraId="6A02BB97" w14:textId="0A3E95BF" w:rsidR="00D1755D" w:rsidRPr="00D1755D" w:rsidRDefault="00D1755D" w:rsidP="00D1755D">
      <w:pPr>
        <w:spacing w:line="360" w:lineRule="auto"/>
        <w:jc w:val="both"/>
        <w:rPr>
          <w:rFonts w:ascii="Arial" w:hAnsi="Arial" w:cs="Arial"/>
          <w:bCs/>
          <w:sz w:val="24"/>
          <w:szCs w:val="24"/>
        </w:rPr>
      </w:pPr>
      <w:r w:rsidRPr="00D1755D">
        <w:rPr>
          <w:rFonts w:ascii="Arial" w:hAnsi="Arial" w:cs="Arial"/>
          <w:bCs/>
          <w:sz w:val="24"/>
          <w:szCs w:val="24"/>
        </w:rPr>
        <w:t xml:space="preserve">Despite these enabling factors, research highlights persistent and systemic barriers to embedding SDS outcome measurement tools in Northern Ireland. A fundamental challenge is the absence of a legislated policy framework or a unified model for outcome measurement across Health and Social Care Trusts (Chapman, 2018; Hughes, 2024; RQIA, 2011). This policy and structural fragmentation </w:t>
      </w:r>
      <w:r w:rsidR="00AD63E2" w:rsidRPr="00D1755D">
        <w:rPr>
          <w:rFonts w:ascii="Arial" w:hAnsi="Arial" w:cs="Arial"/>
          <w:bCs/>
          <w:sz w:val="24"/>
          <w:szCs w:val="24"/>
        </w:rPr>
        <w:t>lead</w:t>
      </w:r>
      <w:r w:rsidRPr="00D1755D">
        <w:rPr>
          <w:rFonts w:ascii="Arial" w:hAnsi="Arial" w:cs="Arial"/>
          <w:bCs/>
          <w:sz w:val="24"/>
          <w:szCs w:val="24"/>
        </w:rPr>
        <w:t xml:space="preserve"> to inconsistent approaches to data collection, duplicative processes, and wide variation in both service delivery and reporting practices. As a result, individuals’ experiences and outcomes can differ significantly depending on where they live, creating a “postcode lottery” and undermining equity obligations under Section 75 of the Northern Ireland Act.</w:t>
      </w:r>
    </w:p>
    <w:p w14:paraId="17938E44" w14:textId="7EBB7120" w:rsidR="00D1755D" w:rsidRPr="00D1755D" w:rsidRDefault="00D1755D" w:rsidP="00D1755D">
      <w:pPr>
        <w:spacing w:line="360" w:lineRule="auto"/>
        <w:jc w:val="both"/>
        <w:rPr>
          <w:rFonts w:ascii="Arial" w:hAnsi="Arial" w:cs="Arial"/>
          <w:bCs/>
          <w:sz w:val="24"/>
          <w:szCs w:val="24"/>
        </w:rPr>
      </w:pPr>
      <w:r w:rsidRPr="00D1755D">
        <w:rPr>
          <w:rFonts w:ascii="Arial" w:hAnsi="Arial" w:cs="Arial"/>
          <w:bCs/>
          <w:sz w:val="24"/>
          <w:szCs w:val="24"/>
        </w:rPr>
        <w:t xml:space="preserve">In practice, outcome measurement often defaults to process-focused indicators, such as the number of Direct Payments issued or budgets allocated (Chapman, 2019; Duffy et al., 2015). While straightforward to monitor, these metrics provide very limited </w:t>
      </w:r>
      <w:r w:rsidRPr="00D1755D">
        <w:rPr>
          <w:rFonts w:ascii="Arial" w:hAnsi="Arial" w:cs="Arial"/>
          <w:bCs/>
          <w:sz w:val="24"/>
          <w:szCs w:val="24"/>
        </w:rPr>
        <w:lastRenderedPageBreak/>
        <w:t xml:space="preserve">insight into whether individuals are experiencing meaningful improvements in autonomy, well-being, or social inclusion. This narrow focus obscures the realities of day-to-day life for </w:t>
      </w:r>
      <w:r w:rsidR="0068766A">
        <w:rPr>
          <w:rFonts w:ascii="Arial" w:hAnsi="Arial" w:cs="Arial"/>
          <w:bCs/>
          <w:sz w:val="24"/>
          <w:szCs w:val="24"/>
        </w:rPr>
        <w:t>people who draw on care and support</w:t>
      </w:r>
      <w:r w:rsidRPr="00D1755D">
        <w:rPr>
          <w:rFonts w:ascii="Arial" w:hAnsi="Arial" w:cs="Arial"/>
          <w:bCs/>
          <w:sz w:val="24"/>
          <w:szCs w:val="24"/>
        </w:rPr>
        <w:t xml:space="preserve"> and generates equality risks, particularly for marginalised groups such as people with intellectual disabilities, those living in rural communities, and minority ethnic populations. Reliance on process measures can reinforce superficial reporting and mask inequalities in who benefits from SDS.</w:t>
      </w:r>
    </w:p>
    <w:p w14:paraId="3CED0862" w14:textId="059856AA" w:rsidR="00D1755D" w:rsidRPr="00D1755D" w:rsidRDefault="00D1755D" w:rsidP="00D1755D">
      <w:pPr>
        <w:spacing w:line="360" w:lineRule="auto"/>
        <w:jc w:val="both"/>
        <w:rPr>
          <w:rFonts w:ascii="Arial" w:hAnsi="Arial" w:cs="Arial"/>
          <w:bCs/>
          <w:sz w:val="24"/>
          <w:szCs w:val="24"/>
        </w:rPr>
      </w:pPr>
      <w:r w:rsidRPr="00D1755D">
        <w:rPr>
          <w:rFonts w:ascii="Arial" w:hAnsi="Arial" w:cs="Arial"/>
          <w:bCs/>
          <w:sz w:val="24"/>
          <w:szCs w:val="24"/>
        </w:rPr>
        <w:t>Cultural and organisational factors further compound these weaknesses. A risk-averse culture within social care prioritises procedural compliance and safeguarding over enabling positive risk-taking, which constrains both innovation and the range of outcomes pursued (Taylor, 2011). Staff who are accustomed to task-based models may view outcome measurement as an additional administrative burden, reinforcing a “tick-box” mentality. Meanwhile, many service users perceive measurement as a bureaucratic exercise rather than a genuine opportunity to influence their care, reducing engagement and the meaningfulness of data collected (McDonnel et al., 2018; Hughes, 2024).</w:t>
      </w:r>
    </w:p>
    <w:p w14:paraId="57668E7F" w14:textId="431F397C" w:rsidR="00D1755D" w:rsidRPr="00D1755D" w:rsidRDefault="00D1755D" w:rsidP="00D1755D">
      <w:pPr>
        <w:spacing w:line="360" w:lineRule="auto"/>
        <w:jc w:val="both"/>
        <w:rPr>
          <w:rFonts w:ascii="Arial" w:hAnsi="Arial" w:cs="Arial"/>
          <w:bCs/>
          <w:sz w:val="24"/>
          <w:szCs w:val="24"/>
        </w:rPr>
      </w:pPr>
      <w:r w:rsidRPr="00D1755D">
        <w:rPr>
          <w:rFonts w:ascii="Arial" w:hAnsi="Arial" w:cs="Arial"/>
          <w:bCs/>
          <w:sz w:val="24"/>
          <w:szCs w:val="24"/>
        </w:rPr>
        <w:t>Resource limitations present another significant barrier. Chronic underfunding and austerity-driven budget constraints have restricted investment in key infrastructure such as IT systems, workforce development, and innovative approaches to outcome measurement (Gray &amp; Birrell, 2013; Hughes, 2024). Workforce shortages, particularly in rural areas, limit the availability of Personal Assistants and specialist support staff, reducing service users’ choice and the capacity of practitioners to engage in detailed, person-centred outcome work (Hughes, 2024). Market pressures created by competitive tendering further reinforce prioritisation of efficiency over personalised outcomes, constraining the ability to implement robust measurement systems.</w:t>
      </w:r>
    </w:p>
    <w:p w14:paraId="7D2BD996" w14:textId="6AE1DCBB" w:rsidR="00D1755D" w:rsidRPr="00D1755D" w:rsidRDefault="00D1755D" w:rsidP="00D1755D">
      <w:pPr>
        <w:spacing w:line="360" w:lineRule="auto"/>
        <w:jc w:val="both"/>
        <w:rPr>
          <w:rFonts w:ascii="Arial" w:hAnsi="Arial" w:cs="Arial"/>
          <w:bCs/>
          <w:sz w:val="24"/>
          <w:szCs w:val="24"/>
        </w:rPr>
      </w:pPr>
      <w:r w:rsidRPr="00D1755D">
        <w:rPr>
          <w:rFonts w:ascii="Arial" w:hAnsi="Arial" w:cs="Arial"/>
          <w:bCs/>
          <w:sz w:val="24"/>
          <w:szCs w:val="24"/>
        </w:rPr>
        <w:t xml:space="preserve">Weak infrastructure and regulatory mechanisms exacerbate these challenges. Fragmented IT systems and restrictive interpretations of data protection regulations hinder the collection of integrated, longitudinal outcome data and prevent real-time monitoring of service quality (Gray &amp; Horgan, 2010). The limited enforcement role of the Regulation and Quality Improvement Authority (RQIA) means that Trusts have little </w:t>
      </w:r>
      <w:r w:rsidRPr="00D1755D">
        <w:rPr>
          <w:rFonts w:ascii="Arial" w:hAnsi="Arial" w:cs="Arial"/>
          <w:bCs/>
          <w:sz w:val="24"/>
          <w:szCs w:val="24"/>
        </w:rPr>
        <w:lastRenderedPageBreak/>
        <w:t>incentive to prioritise consistent, high-quality measurement (RQIA, 2011; Hughes, 2024). Without stronger regulatory drivers, inconsistencies are likely to persist.</w:t>
      </w:r>
    </w:p>
    <w:p w14:paraId="49D76541" w14:textId="5C6A056B" w:rsidR="00D1755D" w:rsidRPr="00D1755D" w:rsidRDefault="00D1755D" w:rsidP="00D1755D">
      <w:pPr>
        <w:spacing w:line="360" w:lineRule="auto"/>
        <w:jc w:val="both"/>
        <w:rPr>
          <w:rFonts w:ascii="Arial" w:hAnsi="Arial" w:cs="Arial"/>
          <w:bCs/>
          <w:sz w:val="24"/>
          <w:szCs w:val="24"/>
        </w:rPr>
      </w:pPr>
      <w:r w:rsidRPr="00D1755D">
        <w:rPr>
          <w:rFonts w:ascii="Arial" w:hAnsi="Arial" w:cs="Arial"/>
          <w:bCs/>
          <w:sz w:val="24"/>
          <w:szCs w:val="24"/>
        </w:rPr>
        <w:t>Additional barriers include the lack of independent advocacy and brokerage support, which leaves service users without strong family networks or informal supports disadvantaged in navigating SDS systems (</w:t>
      </w:r>
      <w:proofErr w:type="spellStart"/>
      <w:r w:rsidRPr="00D1755D">
        <w:rPr>
          <w:rFonts w:ascii="Arial" w:hAnsi="Arial" w:cs="Arial"/>
          <w:bCs/>
          <w:sz w:val="24"/>
          <w:szCs w:val="24"/>
        </w:rPr>
        <w:t>Slasberg</w:t>
      </w:r>
      <w:proofErr w:type="spellEnd"/>
      <w:r w:rsidRPr="00D1755D">
        <w:rPr>
          <w:rFonts w:ascii="Arial" w:hAnsi="Arial" w:cs="Arial"/>
          <w:bCs/>
          <w:sz w:val="24"/>
          <w:szCs w:val="24"/>
        </w:rPr>
        <w:t xml:space="preserve"> et al., 2012; </w:t>
      </w:r>
      <w:proofErr w:type="spellStart"/>
      <w:r w:rsidRPr="00D1755D">
        <w:rPr>
          <w:rFonts w:ascii="Arial" w:hAnsi="Arial" w:cs="Arial"/>
          <w:bCs/>
          <w:sz w:val="24"/>
          <w:szCs w:val="24"/>
        </w:rPr>
        <w:t>DoH</w:t>
      </w:r>
      <w:proofErr w:type="spellEnd"/>
      <w:r w:rsidRPr="00D1755D">
        <w:rPr>
          <w:rFonts w:ascii="Arial" w:hAnsi="Arial" w:cs="Arial"/>
          <w:bCs/>
          <w:sz w:val="24"/>
          <w:szCs w:val="24"/>
        </w:rPr>
        <w:t xml:space="preserve"> NI, 2017). Political instability, including repeated suspensions of devolved government, has disrupted policy continuity and slowed system-wide reform, further complicating efforts to embed measurement tools effectively (Gray &amp; Horgan, 2010; Hughes, 2024). Finally, fear of negative repercussions or mismanaging budgets discourages some service users from providing honest feedback, which undermines trust in the system and reduces the accuracy and usefulness of outcome data (Hughes, 2024).</w:t>
      </w:r>
    </w:p>
    <w:p w14:paraId="1C66BFF9" w14:textId="67544B39" w:rsidR="00E32BE5" w:rsidRPr="008F4295" w:rsidRDefault="00D1755D" w:rsidP="00D1755D">
      <w:pPr>
        <w:spacing w:line="360" w:lineRule="auto"/>
        <w:jc w:val="both"/>
        <w:rPr>
          <w:rFonts w:ascii="Arial" w:hAnsi="Arial" w:cs="Arial"/>
          <w:bCs/>
          <w:sz w:val="24"/>
          <w:szCs w:val="24"/>
        </w:rPr>
      </w:pPr>
      <w:r w:rsidRPr="00D1755D">
        <w:rPr>
          <w:rFonts w:ascii="Arial" w:hAnsi="Arial" w:cs="Arial"/>
          <w:bCs/>
          <w:sz w:val="24"/>
          <w:szCs w:val="24"/>
        </w:rPr>
        <w:t>Taken together, while enablers such as a person-centred culture, co-production, policy reform opportunities, cross-sector collaboration, and workforce capability provide a foundation for progress, the barriers remain deeply entrenched. They span policy, resources, workforce, culture, regulation, infrastructure, and user engagement. Without targeted strategies to address these systemic obstacles, efforts to embed robust SDS outcome measurement tools in Northern Ireland are likely to remain fragmented and inequitable, limiting the potential of SDS to deliver meaningful improvements in autonomy, choice, and quality of life.</w:t>
      </w:r>
    </w:p>
    <w:p w14:paraId="6CA93E2E" w14:textId="77777777" w:rsidR="0018673F" w:rsidRPr="008F4295" w:rsidRDefault="0018673F" w:rsidP="0018673F">
      <w:pPr>
        <w:pStyle w:val="Heading1"/>
        <w:rPr>
          <w:sz w:val="24"/>
          <w:szCs w:val="24"/>
        </w:rPr>
      </w:pPr>
      <w:r w:rsidRPr="008F4295">
        <w:rPr>
          <w:sz w:val="24"/>
          <w:szCs w:val="24"/>
        </w:rPr>
        <w:t>Conclusion: Forging a Path Forward for Outcome Measurement in Self-Directed Support</w:t>
      </w:r>
    </w:p>
    <w:p w14:paraId="33C3502A" w14:textId="77777777" w:rsidR="0018673F" w:rsidRPr="008F4295" w:rsidRDefault="0018673F" w:rsidP="00334F09">
      <w:pPr>
        <w:spacing w:line="360" w:lineRule="auto"/>
        <w:jc w:val="both"/>
        <w:rPr>
          <w:rFonts w:ascii="Arial" w:hAnsi="Arial" w:cs="Arial"/>
          <w:sz w:val="24"/>
          <w:szCs w:val="24"/>
        </w:rPr>
      </w:pPr>
      <w:r w:rsidRPr="008F4295">
        <w:rPr>
          <w:rFonts w:ascii="Arial" w:hAnsi="Arial" w:cs="Arial"/>
          <w:sz w:val="24"/>
          <w:szCs w:val="24"/>
        </w:rPr>
        <w:t>The evidence presented in this review affirms the significant potential of Self-Directed Support (SDS) to enhance autonomy, choice, and control for individuals in Northern Ireland. The primary challenge, however, lies in effectively capturing and measuring whether this potential is being realised in practice. This review has not sought to argue for SDS itself, but to outline and evaluate the options for robust outcome measurement that can bridge the gap between policy aspiration and tangible lived experience.</w:t>
      </w:r>
    </w:p>
    <w:p w14:paraId="66E732FF" w14:textId="77777777" w:rsidR="0018673F" w:rsidRPr="008F4295" w:rsidRDefault="0018673F" w:rsidP="00334F09">
      <w:pPr>
        <w:spacing w:line="360" w:lineRule="auto"/>
        <w:jc w:val="both"/>
        <w:rPr>
          <w:rFonts w:ascii="Arial" w:hAnsi="Arial" w:cs="Arial"/>
          <w:sz w:val="24"/>
          <w:szCs w:val="24"/>
        </w:rPr>
      </w:pPr>
      <w:r w:rsidRPr="008F4295">
        <w:rPr>
          <w:rFonts w:ascii="Arial" w:hAnsi="Arial" w:cs="Arial"/>
          <w:sz w:val="24"/>
          <w:szCs w:val="24"/>
        </w:rPr>
        <w:t xml:space="preserve">The central finding is that a one-size-fits-all measurement framework is ill-suited to the personalised ethos of SDS. The value of outcome measurement lies in its ability to reflect the diverse priorities and aspirations of individuals, while also generating data </w:t>
      </w:r>
      <w:r w:rsidRPr="008F4295">
        <w:rPr>
          <w:rFonts w:ascii="Arial" w:hAnsi="Arial" w:cs="Arial"/>
          <w:sz w:val="24"/>
          <w:szCs w:val="24"/>
        </w:rPr>
        <w:lastRenderedPageBreak/>
        <w:t>that can be aggregated to inform system-wide commissioning and strategic decision-making. The experiences of other UK nations, particularly Scotland with its co-produced Personal Outcomes Evaluation Tool (POET), provide valuable models for developing approaches that are both person-centred and systematically robust.</w:t>
      </w:r>
    </w:p>
    <w:p w14:paraId="4E9C5560" w14:textId="77777777" w:rsidR="0018673F" w:rsidRPr="008F4295" w:rsidRDefault="0018673F" w:rsidP="00334F09">
      <w:pPr>
        <w:spacing w:line="360" w:lineRule="auto"/>
        <w:jc w:val="both"/>
        <w:rPr>
          <w:rFonts w:ascii="Arial" w:hAnsi="Arial" w:cs="Arial"/>
          <w:sz w:val="24"/>
          <w:szCs w:val="24"/>
        </w:rPr>
      </w:pPr>
      <w:r w:rsidRPr="008F4295">
        <w:rPr>
          <w:rFonts w:ascii="Arial" w:hAnsi="Arial" w:cs="Arial"/>
          <w:sz w:val="24"/>
          <w:szCs w:val="24"/>
        </w:rPr>
        <w:t>Moving forward, realising the potential of SDS in Northern Ireland requires a dedicated focus on implementing a fit-for-purpose outcome measurement framework. This necessitates a multi-faceted strategy built on several key pillars. First, the adoption of a co-produced approach is paramount. Engaging individuals who draw on support, carers, practitioners, and commissioners in the design and testing of outcome tools ensures their relevance, legitimacy, and practical utility. Methodologies such as Outcomes-Based Accountability (OBA) offer a structured way for these stakeholders to work together to identify the most meaningful indicators.</w:t>
      </w:r>
    </w:p>
    <w:p w14:paraId="5E841D90" w14:textId="77777777" w:rsidR="0018673F" w:rsidRPr="008F4295" w:rsidRDefault="0018673F" w:rsidP="00334F09">
      <w:pPr>
        <w:spacing w:line="360" w:lineRule="auto"/>
        <w:jc w:val="both"/>
        <w:rPr>
          <w:rFonts w:ascii="Arial" w:hAnsi="Arial" w:cs="Arial"/>
          <w:sz w:val="24"/>
          <w:szCs w:val="24"/>
        </w:rPr>
      </w:pPr>
      <w:r w:rsidRPr="008F4295">
        <w:rPr>
          <w:rFonts w:ascii="Arial" w:hAnsi="Arial" w:cs="Arial"/>
          <w:sz w:val="24"/>
          <w:szCs w:val="24"/>
        </w:rPr>
        <w:t>Second, the development of this framework must be viewed as an implementation process in itself. This involves investing in workforce development to equip practitioners with the skills for outcome-focused conversations and data interpretation. It also requires leveraging existing opportunities, such as the rollout of the Encompass system and the learning from the IMPACT Managed Budget project, to pilot tools and embed consistent data collection practices across Trusts. The focus should be on enabling the collection of data that is useful for improving individual care plans </w:t>
      </w:r>
      <w:r w:rsidRPr="008F4295">
        <w:rPr>
          <w:rFonts w:ascii="Arial" w:hAnsi="Arial" w:cs="Arial"/>
          <w:i/>
          <w:iCs/>
          <w:sz w:val="24"/>
          <w:szCs w:val="24"/>
        </w:rPr>
        <w:t>and</w:t>
      </w:r>
      <w:r w:rsidRPr="008F4295">
        <w:rPr>
          <w:rFonts w:ascii="Arial" w:hAnsi="Arial" w:cs="Arial"/>
          <w:sz w:val="24"/>
          <w:szCs w:val="24"/>
        </w:rPr>
        <w:t> for assessing service effectiveness at a programmatic level.</w:t>
      </w:r>
    </w:p>
    <w:p w14:paraId="0D6F076A" w14:textId="77777777" w:rsidR="0018673F" w:rsidRPr="008F4295" w:rsidRDefault="0018673F" w:rsidP="00334F09">
      <w:pPr>
        <w:spacing w:line="360" w:lineRule="auto"/>
        <w:jc w:val="both"/>
        <w:rPr>
          <w:rFonts w:ascii="Arial" w:hAnsi="Arial" w:cs="Arial"/>
          <w:sz w:val="24"/>
          <w:szCs w:val="24"/>
        </w:rPr>
      </w:pPr>
      <w:r w:rsidRPr="008F4295">
        <w:rPr>
          <w:rFonts w:ascii="Arial" w:hAnsi="Arial" w:cs="Arial"/>
          <w:sz w:val="24"/>
          <w:szCs w:val="24"/>
        </w:rPr>
        <w:t>Finally, a longitudinal and adaptive research agenda is critical. Continuously evaluating the effectiveness of different outcome measures, particularly in relation to newer support options like Managed Budgets, will generate the evidence base needed for ongoing refinement. This commitment to learning and adaptation will ensure that the outcome measurement system remains responsive, proportionate, and truly centred on what matters most to the people of Northern Ireland.</w:t>
      </w:r>
    </w:p>
    <w:p w14:paraId="777C28C6" w14:textId="77777777" w:rsidR="0018673F" w:rsidRPr="008F4295" w:rsidRDefault="0018673F" w:rsidP="00334F09">
      <w:pPr>
        <w:spacing w:line="360" w:lineRule="auto"/>
        <w:jc w:val="both"/>
        <w:rPr>
          <w:rFonts w:ascii="Arial" w:hAnsi="Arial" w:cs="Arial"/>
          <w:sz w:val="24"/>
          <w:szCs w:val="24"/>
        </w:rPr>
      </w:pPr>
      <w:r w:rsidRPr="008F4295">
        <w:rPr>
          <w:rFonts w:ascii="Arial" w:hAnsi="Arial" w:cs="Arial"/>
          <w:sz w:val="24"/>
          <w:szCs w:val="24"/>
        </w:rPr>
        <w:t xml:space="preserve">By prioritising the implementation of a co-produced, practical, and robust outcome measurement framework, stakeholders can ensure that SDS is not just a policy ambition but a demonstrably effective model of support. The goal is to create a system where the measurement of outcomes becomes an integral part of a continuous cycle </w:t>
      </w:r>
      <w:r w:rsidRPr="008F4295">
        <w:rPr>
          <w:rFonts w:ascii="Arial" w:hAnsi="Arial" w:cs="Arial"/>
          <w:sz w:val="24"/>
          <w:szCs w:val="24"/>
        </w:rPr>
        <w:lastRenderedPageBreak/>
        <w:t>of learning and improvement, ultimately ensuring that support is tailored to empower individuals and deliver meaningful, measurable improvements in their lives.</w:t>
      </w:r>
    </w:p>
    <w:p w14:paraId="5F1ADFD5" w14:textId="77777777" w:rsidR="00F645F7" w:rsidRPr="008F4295" w:rsidRDefault="00F645F7" w:rsidP="0767B820">
      <w:pPr>
        <w:spacing w:line="360" w:lineRule="auto"/>
        <w:rPr>
          <w:rFonts w:ascii="Arial" w:hAnsi="Arial" w:cs="Arial"/>
          <w:sz w:val="24"/>
          <w:szCs w:val="24"/>
        </w:rPr>
      </w:pPr>
    </w:p>
    <w:p w14:paraId="4AF209BF" w14:textId="77777777" w:rsidR="00AA3E5F" w:rsidRPr="008F4295" w:rsidRDefault="00AA3E5F" w:rsidP="00AA3E5F">
      <w:pPr>
        <w:pStyle w:val="Heading1"/>
        <w:rPr>
          <w:sz w:val="24"/>
          <w:szCs w:val="24"/>
        </w:rPr>
      </w:pPr>
      <w:r w:rsidRPr="008F4295">
        <w:rPr>
          <w:sz w:val="24"/>
          <w:szCs w:val="24"/>
        </w:rPr>
        <w:t>References</w:t>
      </w:r>
    </w:p>
    <w:p w14:paraId="426CB5FC"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Arnstein, S. R. (1969). </w:t>
      </w:r>
      <w:r w:rsidRPr="008F4295">
        <w:rPr>
          <w:rFonts w:ascii="Arial" w:hAnsi="Arial" w:cs="Arial"/>
          <w:i/>
          <w:iCs/>
          <w:sz w:val="24"/>
          <w:szCs w:val="24"/>
        </w:rPr>
        <w:t>A ladder of citizen participation</w:t>
      </w:r>
      <w:r w:rsidRPr="008F4295">
        <w:rPr>
          <w:rFonts w:ascii="Arial" w:hAnsi="Arial" w:cs="Arial"/>
          <w:sz w:val="24"/>
          <w:szCs w:val="24"/>
        </w:rPr>
        <w:t>. Journal of the American Institute of Planners, 35(4), 216–224. https://doi.org/10.1080/01944366908977225</w:t>
      </w:r>
    </w:p>
    <w:p w14:paraId="5F8E56F7" w14:textId="2B5F4601"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Barnes, D.</w:t>
      </w:r>
      <w:r w:rsidRPr="008F4295">
        <w:rPr>
          <w:rFonts w:ascii="Arial" w:hAnsi="Arial" w:cs="Arial"/>
          <w:i/>
          <w:iCs/>
          <w:sz w:val="24"/>
          <w:szCs w:val="24"/>
        </w:rPr>
        <w:t xml:space="preserve">, </w:t>
      </w:r>
      <w:r w:rsidRPr="008F4295">
        <w:rPr>
          <w:rFonts w:ascii="Arial" w:hAnsi="Arial" w:cs="Arial"/>
          <w:sz w:val="24"/>
          <w:szCs w:val="24"/>
        </w:rPr>
        <w:t>Boland, B., Linhart, K. and Wilson, K. (2017) Personalisa</w:t>
      </w:r>
      <w:r w:rsidR="007629FE" w:rsidRPr="008F4295">
        <w:rPr>
          <w:rFonts w:ascii="Arial" w:hAnsi="Arial" w:cs="Arial"/>
          <w:sz w:val="24"/>
          <w:szCs w:val="24"/>
        </w:rPr>
        <w:t>ti</w:t>
      </w:r>
      <w:r w:rsidRPr="008F4295">
        <w:rPr>
          <w:rFonts w:ascii="Arial" w:hAnsi="Arial" w:cs="Arial"/>
          <w:sz w:val="24"/>
          <w:szCs w:val="24"/>
        </w:rPr>
        <w:t xml:space="preserve">on and social care assessment: the Care Act 2014. </w:t>
      </w:r>
      <w:proofErr w:type="spellStart"/>
      <w:r w:rsidRPr="008F4295">
        <w:rPr>
          <w:rFonts w:ascii="Arial" w:hAnsi="Arial" w:cs="Arial"/>
          <w:i/>
          <w:iCs/>
          <w:sz w:val="24"/>
          <w:szCs w:val="24"/>
        </w:rPr>
        <w:t>BJPsych</w:t>
      </w:r>
      <w:proofErr w:type="spellEnd"/>
      <w:r w:rsidRPr="008F4295">
        <w:rPr>
          <w:rFonts w:ascii="Arial" w:hAnsi="Arial" w:cs="Arial"/>
          <w:i/>
          <w:iCs/>
          <w:sz w:val="24"/>
          <w:szCs w:val="24"/>
        </w:rPr>
        <w:t xml:space="preserve"> Bulle8n</w:t>
      </w:r>
      <w:r w:rsidRPr="008F4295">
        <w:rPr>
          <w:rFonts w:ascii="Arial" w:hAnsi="Arial" w:cs="Arial"/>
          <w:sz w:val="24"/>
          <w:szCs w:val="24"/>
        </w:rPr>
        <w:t xml:space="preserve">, 41 (3), 176–180. </w:t>
      </w:r>
    </w:p>
    <w:p w14:paraId="72AB3A70" w14:textId="77777777" w:rsidR="00AA3E5F" w:rsidRPr="008F4295" w:rsidRDefault="00AA3E5F" w:rsidP="00AA3E5F">
      <w:pPr>
        <w:spacing w:line="360" w:lineRule="auto"/>
        <w:rPr>
          <w:rFonts w:ascii="Arial" w:hAnsi="Arial" w:cs="Arial"/>
          <w:sz w:val="24"/>
          <w:szCs w:val="24"/>
        </w:rPr>
      </w:pPr>
      <w:proofErr w:type="spellStart"/>
      <w:r w:rsidRPr="008F4295">
        <w:rPr>
          <w:rFonts w:ascii="Arial" w:hAnsi="Arial" w:cs="Arial"/>
          <w:sz w:val="24"/>
          <w:szCs w:val="24"/>
        </w:rPr>
        <w:t>Boelsma</w:t>
      </w:r>
      <w:proofErr w:type="spellEnd"/>
      <w:r w:rsidRPr="008F4295">
        <w:rPr>
          <w:rFonts w:ascii="Arial" w:hAnsi="Arial" w:cs="Arial"/>
          <w:sz w:val="24"/>
          <w:szCs w:val="24"/>
        </w:rPr>
        <w:t xml:space="preserve">, F., Bode, C., &amp; </w:t>
      </w:r>
      <w:proofErr w:type="spellStart"/>
      <w:r w:rsidRPr="008F4295">
        <w:rPr>
          <w:rFonts w:ascii="Arial" w:hAnsi="Arial" w:cs="Arial"/>
          <w:sz w:val="24"/>
          <w:szCs w:val="24"/>
        </w:rPr>
        <w:t>Depla</w:t>
      </w:r>
      <w:proofErr w:type="spellEnd"/>
      <w:r w:rsidRPr="008F4295">
        <w:rPr>
          <w:rFonts w:ascii="Arial" w:hAnsi="Arial" w:cs="Arial"/>
          <w:sz w:val="24"/>
          <w:szCs w:val="24"/>
        </w:rPr>
        <w:t>, M. (2014). Client-</w:t>
      </w:r>
      <w:proofErr w:type="spellStart"/>
      <w:r w:rsidRPr="008F4295">
        <w:rPr>
          <w:rFonts w:ascii="Arial" w:hAnsi="Arial" w:cs="Arial"/>
          <w:sz w:val="24"/>
          <w:szCs w:val="24"/>
        </w:rPr>
        <w:t>centered</w:t>
      </w:r>
      <w:proofErr w:type="spellEnd"/>
      <w:r w:rsidRPr="008F4295">
        <w:rPr>
          <w:rFonts w:ascii="Arial" w:hAnsi="Arial" w:cs="Arial"/>
          <w:sz w:val="24"/>
          <w:szCs w:val="24"/>
        </w:rPr>
        <w:t xml:space="preserve"> care and autonomy in social work: Conceptual clarification. </w:t>
      </w:r>
      <w:r w:rsidRPr="008F4295">
        <w:rPr>
          <w:rFonts w:ascii="Arial" w:hAnsi="Arial" w:cs="Arial"/>
          <w:i/>
          <w:iCs/>
          <w:sz w:val="24"/>
          <w:szCs w:val="24"/>
        </w:rPr>
        <w:t>European Journal of Social Work</w:t>
      </w:r>
      <w:r w:rsidRPr="008F4295">
        <w:rPr>
          <w:rFonts w:ascii="Arial" w:hAnsi="Arial" w:cs="Arial"/>
          <w:sz w:val="24"/>
          <w:szCs w:val="24"/>
        </w:rPr>
        <w:t>, 17(1), 1–15. https://doi.org/10.1080/13691457.2013.789034</w:t>
      </w:r>
    </w:p>
    <w:p w14:paraId="2DEDCC6E" w14:textId="6AA2474B" w:rsidR="00AA3E5F" w:rsidRDefault="00AA3E5F" w:rsidP="00AA3E5F">
      <w:pPr>
        <w:spacing w:line="360" w:lineRule="auto"/>
        <w:rPr>
          <w:rFonts w:ascii="Arial" w:hAnsi="Arial" w:cs="Arial"/>
          <w:sz w:val="24"/>
          <w:szCs w:val="24"/>
        </w:rPr>
      </w:pPr>
      <w:r w:rsidRPr="008F4295">
        <w:rPr>
          <w:rFonts w:ascii="Arial" w:hAnsi="Arial" w:cs="Arial"/>
          <w:sz w:val="24"/>
          <w:szCs w:val="24"/>
        </w:rPr>
        <w:t>Care Quality Commission. (2019). </w:t>
      </w:r>
      <w:r w:rsidRPr="008F4295">
        <w:rPr>
          <w:rFonts w:ascii="Arial" w:hAnsi="Arial" w:cs="Arial"/>
          <w:i/>
          <w:iCs/>
          <w:sz w:val="24"/>
          <w:szCs w:val="24"/>
        </w:rPr>
        <w:t>Direct payments and personal budgets: A guide for providers</w:t>
      </w:r>
      <w:r w:rsidRPr="008F4295">
        <w:rPr>
          <w:rFonts w:ascii="Arial" w:hAnsi="Arial" w:cs="Arial"/>
          <w:sz w:val="24"/>
          <w:szCs w:val="24"/>
        </w:rPr>
        <w:t>. </w:t>
      </w:r>
      <w:hyperlink r:id="rId11" w:history="1">
        <w:r w:rsidR="00941C1A" w:rsidRPr="0097479C">
          <w:rPr>
            <w:rStyle w:val="Hyperlink"/>
            <w:rFonts w:ascii="Arial" w:hAnsi="Arial" w:cs="Arial"/>
            <w:sz w:val="24"/>
            <w:szCs w:val="24"/>
          </w:rPr>
          <w:t>https://www.cqc.org.uk/guidance-providers/social-care/direct-payments-personal-budgets-guide-providers</w:t>
        </w:r>
      </w:hyperlink>
    </w:p>
    <w:p w14:paraId="16C8679D"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Carey, G., Crammond, B. and Malbon, E. (2019) Personalisation schemes in social care and inequality: review of the evidence and early theorising. </w:t>
      </w:r>
      <w:r w:rsidRPr="008F4295">
        <w:rPr>
          <w:rFonts w:ascii="Arial" w:hAnsi="Arial" w:cs="Arial"/>
          <w:i/>
          <w:iCs/>
          <w:sz w:val="24"/>
          <w:szCs w:val="24"/>
        </w:rPr>
        <w:t>Interna8onal Journal for Equity in Health</w:t>
      </w:r>
      <w:r w:rsidRPr="008F4295">
        <w:rPr>
          <w:rFonts w:ascii="Arial" w:hAnsi="Arial" w:cs="Arial"/>
          <w:sz w:val="24"/>
          <w:szCs w:val="24"/>
        </w:rPr>
        <w:t xml:space="preserve">, 18 (1), 1–10. </w:t>
      </w:r>
    </w:p>
    <w:p w14:paraId="213BA8BC"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Carr, S. (2011) Uniformity or equality? Integration, equity and the challenge of personalisa2on. </w:t>
      </w:r>
      <w:r w:rsidRPr="008F4295">
        <w:rPr>
          <w:rFonts w:ascii="Arial" w:hAnsi="Arial" w:cs="Arial"/>
          <w:i/>
          <w:iCs/>
          <w:sz w:val="24"/>
          <w:szCs w:val="24"/>
        </w:rPr>
        <w:t>Journal of Integrated Care</w:t>
      </w:r>
      <w:r w:rsidRPr="008F4295">
        <w:rPr>
          <w:rFonts w:ascii="Arial" w:hAnsi="Arial" w:cs="Arial"/>
          <w:sz w:val="24"/>
          <w:szCs w:val="24"/>
        </w:rPr>
        <w:t xml:space="preserve">, 19 (3), 42–47. </w:t>
      </w:r>
    </w:p>
    <w:p w14:paraId="08C4FEB4"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Chapman, A. (2019) Thinking ahead? Exploring adult social care provision with older people in Northern Ireland. Health and Social Care in the Community, 27(1), 161–169. doi.org/10.1111/hsc.12635</w:t>
      </w:r>
    </w:p>
    <w:p w14:paraId="086C0108"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Chapman, A. (2020) Person-centred care in Northern Ireland: learning from the experiences of adult social care users. Journal of Integrated Care, 29 (3), 242-253. doi.org/10.1108/JICA-06-2020-0036</w:t>
      </w:r>
    </w:p>
    <w:p w14:paraId="327047E1"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Connolly J, Munro A, </w:t>
      </w:r>
      <w:proofErr w:type="spellStart"/>
      <w:r w:rsidRPr="008F4295">
        <w:rPr>
          <w:rFonts w:ascii="Arial" w:hAnsi="Arial" w:cs="Arial"/>
          <w:sz w:val="24"/>
          <w:szCs w:val="24"/>
        </w:rPr>
        <w:t>Macgillivray</w:t>
      </w:r>
      <w:proofErr w:type="spellEnd"/>
      <w:r w:rsidRPr="008F4295">
        <w:rPr>
          <w:rFonts w:ascii="Arial" w:hAnsi="Arial" w:cs="Arial"/>
          <w:sz w:val="24"/>
          <w:szCs w:val="24"/>
        </w:rPr>
        <w:t xml:space="preserve"> S, et al. (2023) The Leadership of Co-Production in Health and Social Care Integration in Scotland: A Qualitative Study. Journal of Social Policy. 52(3):620-639.</w:t>
      </w:r>
    </w:p>
    <w:p w14:paraId="18825084"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lastRenderedPageBreak/>
        <w:t>Dalrymple, J., D. Macaskill, and H. Simmons (2017) Self-Directed Support: Your Choice, Your Right. Sheffield: Centre for Welfare Reform.</w:t>
      </w:r>
    </w:p>
    <w:p w14:paraId="5A57A042" w14:textId="099E06A6" w:rsidR="00AA3E5F" w:rsidRDefault="00AA3E5F" w:rsidP="00AA3E5F">
      <w:pPr>
        <w:spacing w:line="360" w:lineRule="auto"/>
        <w:rPr>
          <w:rFonts w:ascii="Arial" w:hAnsi="Arial" w:cs="Arial"/>
          <w:sz w:val="24"/>
          <w:szCs w:val="24"/>
        </w:rPr>
      </w:pPr>
      <w:r w:rsidRPr="008F4295">
        <w:rPr>
          <w:rFonts w:ascii="Arial" w:hAnsi="Arial" w:cs="Arial"/>
          <w:sz w:val="24"/>
          <w:szCs w:val="24"/>
        </w:rPr>
        <w:t>Department of Health Northern Ireland. (2022) </w:t>
      </w:r>
      <w:r w:rsidRPr="008F4295">
        <w:rPr>
          <w:rFonts w:ascii="Arial" w:hAnsi="Arial" w:cs="Arial"/>
          <w:i/>
          <w:iCs/>
          <w:sz w:val="24"/>
          <w:szCs w:val="24"/>
        </w:rPr>
        <w:t>Health and Social Care outcomes framework</w:t>
      </w:r>
      <w:r w:rsidRPr="008F4295">
        <w:rPr>
          <w:rFonts w:ascii="Arial" w:hAnsi="Arial" w:cs="Arial"/>
          <w:sz w:val="24"/>
          <w:szCs w:val="24"/>
        </w:rPr>
        <w:t xml:space="preserve">. Belfast: </w:t>
      </w:r>
      <w:proofErr w:type="spellStart"/>
      <w:r w:rsidRPr="008F4295">
        <w:rPr>
          <w:rFonts w:ascii="Arial" w:hAnsi="Arial" w:cs="Arial"/>
          <w:sz w:val="24"/>
          <w:szCs w:val="24"/>
        </w:rPr>
        <w:t>DoH</w:t>
      </w:r>
      <w:proofErr w:type="spellEnd"/>
      <w:r w:rsidRPr="008F4295">
        <w:rPr>
          <w:rFonts w:ascii="Arial" w:hAnsi="Arial" w:cs="Arial"/>
          <w:sz w:val="24"/>
          <w:szCs w:val="24"/>
        </w:rPr>
        <w:t xml:space="preserve"> NI. Retrieved from </w:t>
      </w:r>
      <w:hyperlink r:id="rId12" w:history="1">
        <w:r w:rsidR="00D60D96" w:rsidRPr="0097479C">
          <w:rPr>
            <w:rStyle w:val="Hyperlink"/>
            <w:rFonts w:ascii="Arial" w:hAnsi="Arial" w:cs="Arial"/>
            <w:sz w:val="24"/>
            <w:szCs w:val="24"/>
          </w:rPr>
          <w:t>https://www.health-ni.gov.uk/publications/health-and-social-care-outcomes-framework</w:t>
        </w:r>
      </w:hyperlink>
    </w:p>
    <w:p w14:paraId="5F721CBA" w14:textId="684EF3A4" w:rsidR="00D60D96" w:rsidRPr="008F4295" w:rsidRDefault="00AA3E5F" w:rsidP="00AA3E5F">
      <w:pPr>
        <w:spacing w:line="360" w:lineRule="auto"/>
        <w:rPr>
          <w:rFonts w:ascii="Arial" w:hAnsi="Arial" w:cs="Arial"/>
          <w:sz w:val="24"/>
          <w:szCs w:val="24"/>
        </w:rPr>
      </w:pPr>
      <w:r w:rsidRPr="008F4295">
        <w:rPr>
          <w:rFonts w:ascii="Arial" w:hAnsi="Arial" w:cs="Arial"/>
          <w:sz w:val="24"/>
          <w:szCs w:val="24"/>
        </w:rPr>
        <w:t>DHSSPS (2013) Transforming your care: vision to action. Belfast: DHSSPS. Available from: hCp://www.transformingyourcare.hscni.net/wp- content/uploads/2013/03/Transforming-Your-Care-Vision-to-Action-Post- Consultation-Report.pdf</w:t>
      </w:r>
    </w:p>
    <w:p w14:paraId="061E5251" w14:textId="54335F40" w:rsidR="00D60D96"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DHSSPS (2014) Making life </w:t>
      </w:r>
      <w:proofErr w:type="spellStart"/>
      <w:r w:rsidRPr="008F4295">
        <w:rPr>
          <w:rFonts w:ascii="Arial" w:hAnsi="Arial" w:cs="Arial"/>
          <w:sz w:val="24"/>
          <w:szCs w:val="24"/>
        </w:rPr>
        <w:t>bener</w:t>
      </w:r>
      <w:proofErr w:type="spellEnd"/>
      <w:r w:rsidRPr="008F4295">
        <w:rPr>
          <w:rFonts w:ascii="Arial" w:hAnsi="Arial" w:cs="Arial"/>
          <w:sz w:val="24"/>
          <w:szCs w:val="24"/>
        </w:rPr>
        <w:t>: a whole system strategic framework for public health 2013-2023. Belfast: DHSSPS. Available from: hCps://www.health- ni.gov.uk/sites/default/files/publications/dhssps/making-life-beCer-strategic- framework-2013-2023_0.pdf</w:t>
      </w:r>
    </w:p>
    <w:p w14:paraId="2759FD32" w14:textId="77777777" w:rsidR="00AA3E5F" w:rsidRPr="008F4295" w:rsidRDefault="00AA3E5F" w:rsidP="00AA3E5F">
      <w:pPr>
        <w:spacing w:line="360" w:lineRule="auto"/>
        <w:rPr>
          <w:rFonts w:ascii="Arial" w:hAnsi="Arial" w:cs="Arial"/>
          <w:sz w:val="24"/>
          <w:szCs w:val="24"/>
        </w:rPr>
      </w:pPr>
      <w:proofErr w:type="spellStart"/>
      <w:r w:rsidRPr="008F4295">
        <w:rPr>
          <w:rFonts w:ascii="Arial" w:hAnsi="Arial" w:cs="Arial"/>
          <w:sz w:val="24"/>
          <w:szCs w:val="24"/>
        </w:rPr>
        <w:t>DoH</w:t>
      </w:r>
      <w:proofErr w:type="spellEnd"/>
      <w:r w:rsidRPr="008F4295">
        <w:rPr>
          <w:rFonts w:ascii="Arial" w:hAnsi="Arial" w:cs="Arial"/>
          <w:sz w:val="24"/>
          <w:szCs w:val="24"/>
        </w:rPr>
        <w:t xml:space="preserve"> NI (2022) </w:t>
      </w:r>
      <w:r w:rsidRPr="008F4295">
        <w:rPr>
          <w:rFonts w:ascii="Arial" w:hAnsi="Arial" w:cs="Arial"/>
          <w:i/>
          <w:iCs/>
          <w:sz w:val="24"/>
          <w:szCs w:val="24"/>
        </w:rPr>
        <w:t>Reform of adult social care Northern Ireland consulta8on document</w:t>
      </w:r>
      <w:r w:rsidRPr="008F4295">
        <w:rPr>
          <w:rFonts w:ascii="Arial" w:hAnsi="Arial" w:cs="Arial"/>
          <w:sz w:val="24"/>
          <w:szCs w:val="24"/>
        </w:rPr>
        <w:t xml:space="preserve">. Belfast: </w:t>
      </w:r>
      <w:proofErr w:type="spellStart"/>
      <w:r w:rsidRPr="008F4295">
        <w:rPr>
          <w:rFonts w:ascii="Arial" w:hAnsi="Arial" w:cs="Arial"/>
          <w:sz w:val="24"/>
          <w:szCs w:val="24"/>
        </w:rPr>
        <w:t>DoH</w:t>
      </w:r>
      <w:proofErr w:type="spellEnd"/>
      <w:r w:rsidRPr="008F4295">
        <w:rPr>
          <w:rFonts w:ascii="Arial" w:hAnsi="Arial" w:cs="Arial"/>
          <w:sz w:val="24"/>
          <w:szCs w:val="24"/>
        </w:rPr>
        <w:t xml:space="preserve"> NI. Available from: hCps://www.health- ni.gov.uk/sites/default/files/consulta2ons/health/doh-rasc-consulta2on- document.pdf </w:t>
      </w:r>
    </w:p>
    <w:p w14:paraId="425325F4"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Doheny, S. and Milbourne, P. (2013) Modernization and devolution: delivering Services for older people in rural areas of England and Wales. </w:t>
      </w:r>
      <w:r w:rsidRPr="008F4295">
        <w:rPr>
          <w:rFonts w:ascii="Arial" w:hAnsi="Arial" w:cs="Arial"/>
          <w:i/>
          <w:iCs/>
          <w:sz w:val="24"/>
          <w:szCs w:val="24"/>
        </w:rPr>
        <w:t>Social Policy &amp; Administra8on</w:t>
      </w:r>
      <w:r w:rsidRPr="008F4295">
        <w:rPr>
          <w:rFonts w:ascii="Arial" w:hAnsi="Arial" w:cs="Arial"/>
          <w:sz w:val="24"/>
          <w:szCs w:val="24"/>
        </w:rPr>
        <w:t xml:space="preserve">, 501–519. </w:t>
      </w:r>
    </w:p>
    <w:p w14:paraId="0AE3E3BA"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Doyal, L., &amp; Gough, I. (1991). </w:t>
      </w:r>
      <w:r w:rsidRPr="008F4295">
        <w:rPr>
          <w:rFonts w:ascii="Arial" w:hAnsi="Arial" w:cs="Arial"/>
          <w:i/>
          <w:iCs/>
          <w:sz w:val="24"/>
          <w:szCs w:val="24"/>
        </w:rPr>
        <w:t>A theory of human need</w:t>
      </w:r>
      <w:r w:rsidRPr="008F4295">
        <w:rPr>
          <w:rFonts w:ascii="Arial" w:hAnsi="Arial" w:cs="Arial"/>
          <w:sz w:val="24"/>
          <w:szCs w:val="24"/>
        </w:rPr>
        <w:t>. Macmillan.</w:t>
      </w:r>
    </w:p>
    <w:p w14:paraId="63A40121"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Duffy, J., Basu, S., Davidson, G. and Pearson, K.C. (2015) </w:t>
      </w:r>
      <w:r w:rsidRPr="008F4295">
        <w:rPr>
          <w:rFonts w:ascii="Arial" w:hAnsi="Arial" w:cs="Arial"/>
          <w:i/>
          <w:iCs/>
          <w:sz w:val="24"/>
          <w:szCs w:val="24"/>
        </w:rPr>
        <w:t>Review of legisla8on and policy guidance rela8ng to adult social care in Northern Ireland</w:t>
      </w:r>
      <w:r w:rsidRPr="008F4295">
        <w:rPr>
          <w:rFonts w:ascii="Arial" w:hAnsi="Arial" w:cs="Arial"/>
          <w:sz w:val="24"/>
          <w:szCs w:val="24"/>
        </w:rPr>
        <w:t xml:space="preserve">. Belfast. </w:t>
      </w:r>
    </w:p>
    <w:p w14:paraId="25CC2F6C"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Duffy, S. (2018) </w:t>
      </w:r>
      <w:r w:rsidRPr="008F4295">
        <w:rPr>
          <w:rFonts w:ascii="Arial" w:hAnsi="Arial" w:cs="Arial"/>
          <w:i/>
          <w:iCs/>
          <w:sz w:val="24"/>
          <w:szCs w:val="24"/>
        </w:rPr>
        <w:t>Self-directed support: if it’s so good then why is it so hard</w:t>
      </w:r>
      <w:r w:rsidRPr="008F4295">
        <w:rPr>
          <w:rFonts w:ascii="Arial" w:hAnsi="Arial" w:cs="Arial"/>
          <w:sz w:val="24"/>
          <w:szCs w:val="24"/>
        </w:rPr>
        <w:t xml:space="preserve">. Available from: hCp://www.centreforwelfarereform.org/uploads/aCachment/616/self- directed-support.pdf. </w:t>
      </w:r>
    </w:p>
    <w:p w14:paraId="4C073995"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Forder, J., &amp; Roland, D. (2021). Funding and resource decision-making for adult social care – The role of cost effectiveness analysis (Technical report). National Institute for Health and Care Research.</w:t>
      </w:r>
    </w:p>
    <w:p w14:paraId="4C38F83F"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lastRenderedPageBreak/>
        <w:t>Forder, J., Malley, J., &amp; Glendinning, C. (2016). Measuring choice and control in adult social care: A critical review. </w:t>
      </w:r>
      <w:r w:rsidRPr="008F4295">
        <w:rPr>
          <w:rFonts w:ascii="Arial" w:hAnsi="Arial" w:cs="Arial"/>
          <w:i/>
          <w:iCs/>
          <w:sz w:val="24"/>
          <w:szCs w:val="24"/>
        </w:rPr>
        <w:t>Health &amp; Social Care in the Community</w:t>
      </w:r>
      <w:r w:rsidRPr="008F4295">
        <w:rPr>
          <w:rFonts w:ascii="Arial" w:hAnsi="Arial" w:cs="Arial"/>
          <w:sz w:val="24"/>
          <w:szCs w:val="24"/>
        </w:rPr>
        <w:t>, 24(2), 202–211. https://doi.org/10.1111/hsc.12227</w:t>
      </w:r>
    </w:p>
    <w:p w14:paraId="4098710A"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Glasby, J. (2014) The controversies of choice and control: why some people might be hos2le to English social care reforms. British Journal of Social Work, 44 (2), 252–266. </w:t>
      </w:r>
    </w:p>
    <w:p w14:paraId="3335528B"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Glasby, J. (2014). </w:t>
      </w:r>
      <w:r w:rsidRPr="008F4295">
        <w:rPr>
          <w:rFonts w:ascii="Arial" w:hAnsi="Arial" w:cs="Arial"/>
          <w:i/>
          <w:iCs/>
          <w:sz w:val="24"/>
          <w:szCs w:val="24"/>
        </w:rPr>
        <w:t>Commissioning for health and well-being: An introduction</w:t>
      </w:r>
      <w:r w:rsidRPr="008F4295">
        <w:rPr>
          <w:rFonts w:ascii="Arial" w:hAnsi="Arial" w:cs="Arial"/>
          <w:sz w:val="24"/>
          <w:szCs w:val="24"/>
        </w:rPr>
        <w:t>. Policy Press.</w:t>
      </w:r>
    </w:p>
    <w:p w14:paraId="1FAC6408"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Glasby, J., &amp; Littlechild, R. (2009). Direct payments and personal budgets: Putting personalisation into practice. Bristol: The Policy Press.</w:t>
      </w:r>
    </w:p>
    <w:p w14:paraId="33864FF6"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Glendinning, C., Challis, D., </w:t>
      </w:r>
      <w:proofErr w:type="spellStart"/>
      <w:r w:rsidRPr="008F4295">
        <w:rPr>
          <w:rFonts w:ascii="Arial" w:hAnsi="Arial" w:cs="Arial"/>
          <w:sz w:val="24"/>
          <w:szCs w:val="24"/>
        </w:rPr>
        <w:t>Fernández</w:t>
      </w:r>
      <w:proofErr w:type="spellEnd"/>
      <w:r w:rsidRPr="008F4295">
        <w:rPr>
          <w:rFonts w:ascii="Arial" w:hAnsi="Arial" w:cs="Arial"/>
          <w:sz w:val="24"/>
          <w:szCs w:val="24"/>
        </w:rPr>
        <w:t xml:space="preserve">, J.L., Jacobs, S., Jones, K., Knapp, M., Manthorpe, J., Moran, N., </w:t>
      </w:r>
      <w:proofErr w:type="spellStart"/>
      <w:r w:rsidRPr="008F4295">
        <w:rPr>
          <w:rFonts w:ascii="Arial" w:hAnsi="Arial" w:cs="Arial"/>
          <w:sz w:val="24"/>
          <w:szCs w:val="24"/>
        </w:rPr>
        <w:t>NeCen</w:t>
      </w:r>
      <w:proofErr w:type="spellEnd"/>
      <w:r w:rsidRPr="008F4295">
        <w:rPr>
          <w:rFonts w:ascii="Arial" w:hAnsi="Arial" w:cs="Arial"/>
          <w:sz w:val="24"/>
          <w:szCs w:val="24"/>
        </w:rPr>
        <w:t xml:space="preserve">, A., Stevens, M. and Wilberforce, M. (2008) Evalua8on of the individual budgets pilot programme: summary report. Social Policy Research Unit, University of York. Available from: hCps://www.york.ac.uk/inst/spru/pubs/pdf/IBSEN.pdf </w:t>
      </w:r>
    </w:p>
    <w:p w14:paraId="42B66E07"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Gray, A. M. and Birrell, D. (2012) Coalition government in Northern Ireland: social policy and the lowest common denominator thesis. </w:t>
      </w:r>
      <w:r w:rsidRPr="008F4295">
        <w:rPr>
          <w:rFonts w:ascii="Arial" w:hAnsi="Arial" w:cs="Arial"/>
          <w:i/>
          <w:iCs/>
          <w:sz w:val="24"/>
          <w:szCs w:val="24"/>
        </w:rPr>
        <w:t>Social Policy and Society</w:t>
      </w:r>
      <w:r w:rsidRPr="008F4295">
        <w:rPr>
          <w:rFonts w:ascii="Arial" w:hAnsi="Arial" w:cs="Arial"/>
          <w:sz w:val="24"/>
          <w:szCs w:val="24"/>
        </w:rPr>
        <w:t xml:space="preserve">, 11 (1), 15–25 </w:t>
      </w:r>
    </w:p>
    <w:p w14:paraId="6BA7DE54"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Gray, A. M. and Horgan, G. (2010) </w:t>
      </w:r>
      <w:r w:rsidRPr="008F4295">
        <w:rPr>
          <w:rFonts w:ascii="Arial" w:hAnsi="Arial" w:cs="Arial"/>
          <w:i/>
          <w:iCs/>
          <w:sz w:val="24"/>
          <w:szCs w:val="24"/>
        </w:rPr>
        <w:t>Social care in Northern Ireland: Ark Policy Brief</w:t>
      </w:r>
      <w:r w:rsidRPr="008F4295">
        <w:rPr>
          <w:rFonts w:ascii="Arial" w:hAnsi="Arial" w:cs="Arial"/>
          <w:sz w:val="24"/>
          <w:szCs w:val="24"/>
        </w:rPr>
        <w:t xml:space="preserve">. Available from: hCps://www.ark.ac. </w:t>
      </w:r>
      <w:proofErr w:type="spellStart"/>
      <w:r w:rsidRPr="008F4295">
        <w:rPr>
          <w:rFonts w:ascii="Arial" w:hAnsi="Arial" w:cs="Arial"/>
          <w:sz w:val="24"/>
          <w:szCs w:val="24"/>
        </w:rPr>
        <w:t>policybriefs</w:t>
      </w:r>
      <w:proofErr w:type="spellEnd"/>
      <w:r w:rsidRPr="008F4295">
        <w:rPr>
          <w:rFonts w:ascii="Arial" w:hAnsi="Arial" w:cs="Arial"/>
          <w:sz w:val="24"/>
          <w:szCs w:val="24"/>
        </w:rPr>
        <w:t xml:space="preserve">/policybrief2.pdf </w:t>
      </w:r>
      <w:proofErr w:type="spellStart"/>
      <w:r w:rsidRPr="008F4295">
        <w:rPr>
          <w:rFonts w:ascii="Arial" w:hAnsi="Arial" w:cs="Arial"/>
          <w:sz w:val="24"/>
          <w:szCs w:val="24"/>
        </w:rPr>
        <w:t>uk</w:t>
      </w:r>
      <w:proofErr w:type="spellEnd"/>
      <w:r w:rsidRPr="008F4295">
        <w:rPr>
          <w:rFonts w:ascii="Arial" w:hAnsi="Arial" w:cs="Arial"/>
          <w:sz w:val="24"/>
          <w:szCs w:val="24"/>
        </w:rPr>
        <w:t xml:space="preserve">/pdfs/ </w:t>
      </w:r>
    </w:p>
    <w:p w14:paraId="220929EA"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 Hatton, C. (2015). Personal health budget holders and family carers: The POET surveys 2015. [Report]. Personal Health Budgets Delivery Team. </w:t>
      </w:r>
    </w:p>
    <w:p w14:paraId="38EC555F" w14:textId="0F40F70D" w:rsidR="007F6CCD" w:rsidRPr="008F4295" w:rsidRDefault="007F6CCD" w:rsidP="00AA3E5F">
      <w:pPr>
        <w:spacing w:line="360" w:lineRule="auto"/>
        <w:rPr>
          <w:rFonts w:ascii="Arial" w:hAnsi="Arial" w:cs="Arial"/>
          <w:sz w:val="24"/>
          <w:szCs w:val="24"/>
        </w:rPr>
      </w:pPr>
      <w:r w:rsidRPr="008F4295">
        <w:rPr>
          <w:rFonts w:ascii="Arial" w:hAnsi="Arial" w:cs="Arial"/>
          <w:sz w:val="24"/>
          <w:szCs w:val="24"/>
        </w:rPr>
        <w:t>Health and Social Care Board. (2015). </w:t>
      </w:r>
      <w:r w:rsidRPr="008F4295">
        <w:rPr>
          <w:rFonts w:ascii="Arial" w:hAnsi="Arial" w:cs="Arial"/>
          <w:i/>
          <w:iCs/>
          <w:sz w:val="24"/>
          <w:szCs w:val="24"/>
        </w:rPr>
        <w:t>Equality Impact Assessment on Self Directed Support</w:t>
      </w:r>
      <w:r w:rsidRPr="008F4295">
        <w:rPr>
          <w:rFonts w:ascii="Arial" w:hAnsi="Arial" w:cs="Arial"/>
          <w:sz w:val="24"/>
          <w:szCs w:val="24"/>
        </w:rPr>
        <w:t>. </w:t>
      </w:r>
      <w:hyperlink r:id="rId13" w:tgtFrame="_blank" w:history="1">
        <w:r w:rsidRPr="008F4295">
          <w:rPr>
            <w:rStyle w:val="Hyperlink"/>
            <w:rFonts w:ascii="Arial" w:hAnsi="Arial" w:cs="Arial"/>
            <w:sz w:val="24"/>
            <w:szCs w:val="24"/>
          </w:rPr>
          <w:t>https://www.hscboard.hscni.net/</w:t>
        </w:r>
      </w:hyperlink>
    </w:p>
    <w:p w14:paraId="5499B0FA"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Jordan, K. (2024). Delegated healthcare tasks in social care: Barriers and facilitators. </w:t>
      </w:r>
      <w:r w:rsidRPr="008F4295">
        <w:rPr>
          <w:rFonts w:ascii="Arial" w:hAnsi="Arial" w:cs="Arial"/>
          <w:i/>
          <w:iCs/>
          <w:sz w:val="24"/>
          <w:szCs w:val="24"/>
        </w:rPr>
        <w:t>Journal of Integrated Care</w:t>
      </w:r>
      <w:r w:rsidRPr="008F4295">
        <w:rPr>
          <w:rFonts w:ascii="Arial" w:hAnsi="Arial" w:cs="Arial"/>
          <w:sz w:val="24"/>
          <w:szCs w:val="24"/>
        </w:rPr>
        <w:t>, 32(1), 15–27.</w:t>
      </w:r>
    </w:p>
    <w:p w14:paraId="27273ECA"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Lipsky, M. (2010). </w:t>
      </w:r>
      <w:r w:rsidRPr="008F4295">
        <w:rPr>
          <w:rFonts w:ascii="Arial" w:hAnsi="Arial" w:cs="Arial"/>
          <w:i/>
          <w:iCs/>
          <w:sz w:val="24"/>
          <w:szCs w:val="24"/>
        </w:rPr>
        <w:t>Street-level bureaucracy: Dilemmas of the individual in public services</w:t>
      </w:r>
      <w:r w:rsidRPr="008F4295">
        <w:rPr>
          <w:rFonts w:ascii="Arial" w:hAnsi="Arial" w:cs="Arial"/>
          <w:sz w:val="24"/>
          <w:szCs w:val="24"/>
        </w:rPr>
        <w:t> (30th anniversary ed.). Russell Sage Foundation.</w:t>
      </w:r>
    </w:p>
    <w:p w14:paraId="27A0884D"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lastRenderedPageBreak/>
        <w:t xml:space="preserve">Manthorpe, J., Martineau, S., Ridley, J., Cornes, M., Rosengard, A. and Hunter, S. (2015) Embarking on self-directed support in Scotland: a focused scoping review of the literature. </w:t>
      </w:r>
      <w:r w:rsidRPr="008F4295">
        <w:rPr>
          <w:rFonts w:ascii="Arial" w:hAnsi="Arial" w:cs="Arial"/>
          <w:i/>
          <w:iCs/>
          <w:sz w:val="24"/>
          <w:szCs w:val="24"/>
        </w:rPr>
        <w:t xml:space="preserve">European Journal of Social Work, </w:t>
      </w:r>
      <w:r w:rsidRPr="008F4295">
        <w:rPr>
          <w:rFonts w:ascii="Arial" w:hAnsi="Arial" w:cs="Arial"/>
          <w:sz w:val="24"/>
          <w:szCs w:val="24"/>
        </w:rPr>
        <w:t xml:space="preserve">18 (1), 36-50. </w:t>
      </w:r>
    </w:p>
    <w:p w14:paraId="5499BF4C"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Maslow, A. H. (1943). A theory of human motivation. </w:t>
      </w:r>
      <w:r w:rsidRPr="008F4295">
        <w:rPr>
          <w:rFonts w:ascii="Arial" w:hAnsi="Arial" w:cs="Arial"/>
          <w:i/>
          <w:iCs/>
          <w:sz w:val="24"/>
          <w:szCs w:val="24"/>
        </w:rPr>
        <w:t>Psychological Review</w:t>
      </w:r>
      <w:r w:rsidRPr="008F4295">
        <w:rPr>
          <w:rFonts w:ascii="Arial" w:hAnsi="Arial" w:cs="Arial"/>
          <w:sz w:val="24"/>
          <w:szCs w:val="24"/>
        </w:rPr>
        <w:t>, 50(4), 370–396. https://doi.org/10.1037/h0054346</w:t>
      </w:r>
    </w:p>
    <w:p w14:paraId="294CB1D5"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 McGuigan, K., </w:t>
      </w:r>
      <w:proofErr w:type="spellStart"/>
      <w:r w:rsidRPr="008F4295">
        <w:rPr>
          <w:rFonts w:ascii="Arial" w:hAnsi="Arial" w:cs="Arial"/>
          <w:sz w:val="24"/>
          <w:szCs w:val="24"/>
        </w:rPr>
        <w:t>McDermoC</w:t>
      </w:r>
      <w:proofErr w:type="spellEnd"/>
      <w:r w:rsidRPr="008F4295">
        <w:rPr>
          <w:rFonts w:ascii="Arial" w:hAnsi="Arial" w:cs="Arial"/>
          <w:sz w:val="24"/>
          <w:szCs w:val="24"/>
        </w:rPr>
        <w:t xml:space="preserve">, L., Magowan, C., McCorkell, G., Witherow, A. and Coates, V. (2016) The impact of direct payments on service users requiring care and support at home. </w:t>
      </w:r>
      <w:r w:rsidRPr="008F4295">
        <w:rPr>
          <w:rFonts w:ascii="Arial" w:hAnsi="Arial" w:cs="Arial"/>
          <w:i/>
          <w:iCs/>
          <w:sz w:val="24"/>
          <w:szCs w:val="24"/>
        </w:rPr>
        <w:t>Prac8ce</w:t>
      </w:r>
      <w:r w:rsidRPr="008F4295">
        <w:rPr>
          <w:rFonts w:ascii="Arial" w:hAnsi="Arial" w:cs="Arial"/>
          <w:sz w:val="24"/>
          <w:szCs w:val="24"/>
        </w:rPr>
        <w:t xml:space="preserve">, 28 (1), 37-54 </w:t>
      </w:r>
    </w:p>
    <w:p w14:paraId="7E4F0F71" w14:textId="77777777" w:rsidR="00AA3E5F" w:rsidRDefault="00AA3E5F" w:rsidP="00AA3E5F">
      <w:pPr>
        <w:spacing w:line="360" w:lineRule="auto"/>
        <w:rPr>
          <w:rFonts w:ascii="Arial" w:hAnsi="Arial" w:cs="Arial"/>
          <w:sz w:val="24"/>
          <w:szCs w:val="24"/>
        </w:rPr>
      </w:pPr>
      <w:r w:rsidRPr="008F4295">
        <w:rPr>
          <w:rFonts w:ascii="Arial" w:hAnsi="Arial" w:cs="Arial"/>
          <w:sz w:val="24"/>
          <w:szCs w:val="24"/>
        </w:rPr>
        <w:t>McNeill, S., &amp; Wilson, G. (2017). Use of direct payments in providing care and support to children with disabilities: Opportunities and concerns. The British Journal of Social Work, 47(7), 1903–1922.</w:t>
      </w:r>
    </w:p>
    <w:p w14:paraId="5438242A" w14:textId="46027BCC" w:rsidR="0060060D" w:rsidRPr="008F4295" w:rsidRDefault="0060060D" w:rsidP="00AA3E5F">
      <w:pPr>
        <w:spacing w:line="360" w:lineRule="auto"/>
        <w:rPr>
          <w:rFonts w:ascii="Arial" w:hAnsi="Arial" w:cs="Arial"/>
          <w:sz w:val="24"/>
          <w:szCs w:val="24"/>
        </w:rPr>
      </w:pPr>
      <w:r w:rsidRPr="0060060D">
        <w:rPr>
          <w:rFonts w:ascii="Arial" w:hAnsi="Arial" w:cs="Arial"/>
          <w:sz w:val="24"/>
          <w:szCs w:val="24"/>
        </w:rPr>
        <w:t>Miller, R., &amp; Sanderson, H. (2014). The Individual Service Funds Handbook: Implementing Personal Budgets in Provider Organisations. Jessica Kingsley Publishers.</w:t>
      </w:r>
    </w:p>
    <w:p w14:paraId="3A1064CD"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Needham, C. and Carr, S. (2009), Co-production: an emerging evidence base for adult social care transformation. Social Care Institute for Excellence</w:t>
      </w:r>
    </w:p>
    <w:p w14:paraId="21F7E4F7"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Needham, C. and Hall, P. (2024) </w:t>
      </w:r>
      <w:r w:rsidRPr="008F4295">
        <w:rPr>
          <w:rFonts w:ascii="Arial" w:hAnsi="Arial" w:cs="Arial"/>
          <w:i/>
          <w:iCs/>
          <w:sz w:val="24"/>
          <w:szCs w:val="24"/>
        </w:rPr>
        <w:t xml:space="preserve">Social care in the UK’s four na8ons: between two paradigms. </w:t>
      </w:r>
      <w:r w:rsidRPr="008F4295">
        <w:rPr>
          <w:rFonts w:ascii="Arial" w:hAnsi="Arial" w:cs="Arial"/>
          <w:sz w:val="24"/>
          <w:szCs w:val="24"/>
        </w:rPr>
        <w:t>Bristol: Policy Press.</w:t>
      </w:r>
    </w:p>
    <w:p w14:paraId="3E179F10" w14:textId="51D9F211"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Needham, C., &amp; Hall, C. (2023). Strengths-based social work and the challenges of austerity. </w:t>
      </w:r>
      <w:r w:rsidRPr="008F4295">
        <w:rPr>
          <w:rFonts w:ascii="Arial" w:hAnsi="Arial" w:cs="Arial"/>
          <w:i/>
          <w:iCs/>
          <w:sz w:val="24"/>
          <w:szCs w:val="24"/>
        </w:rPr>
        <w:t>Journal of Social Policy</w:t>
      </w:r>
      <w:r w:rsidRPr="008F4295">
        <w:rPr>
          <w:rFonts w:ascii="Arial" w:hAnsi="Arial" w:cs="Arial"/>
          <w:sz w:val="24"/>
          <w:szCs w:val="24"/>
        </w:rPr>
        <w:t>, 52(1), 113–130. </w:t>
      </w:r>
    </w:p>
    <w:p w14:paraId="2B3DFFA8"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Netten A., Jones K., Knapp M., Fernandez J.-L., Challis D., Glendinning C., Jacobs S., Moran N., Stevens M., Wilberforce M. (2012) </w:t>
      </w:r>
      <w:proofErr w:type="gramStart"/>
      <w:r w:rsidRPr="008F4295">
        <w:rPr>
          <w:rFonts w:ascii="Arial" w:hAnsi="Arial" w:cs="Arial"/>
          <w:sz w:val="24"/>
          <w:szCs w:val="24"/>
        </w:rPr>
        <w:t>‘ Personalisation</w:t>
      </w:r>
      <w:proofErr w:type="gramEnd"/>
      <w:r w:rsidRPr="008F4295">
        <w:rPr>
          <w:rFonts w:ascii="Arial" w:hAnsi="Arial" w:cs="Arial"/>
          <w:sz w:val="24"/>
          <w:szCs w:val="24"/>
        </w:rPr>
        <w:t xml:space="preserve"> through individual budgets: Does it work and for whom?’, British Journal of Social Work, 42, pp. 1556–73.</w:t>
      </w:r>
    </w:p>
    <w:p w14:paraId="04859784"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Netten, A., Malley, J., Smith, P., Forder, J., &amp; Brazier, J. (2012). </w:t>
      </w:r>
      <w:r w:rsidRPr="008F4295">
        <w:rPr>
          <w:rFonts w:ascii="Arial" w:hAnsi="Arial" w:cs="Arial"/>
          <w:i/>
          <w:iCs/>
          <w:sz w:val="24"/>
          <w:szCs w:val="24"/>
        </w:rPr>
        <w:t>Adult Social Care Outcomes Toolkit (ASCOT) – self-completion questionnaire</w:t>
      </w:r>
      <w:r w:rsidRPr="008F4295">
        <w:rPr>
          <w:rFonts w:ascii="Arial" w:hAnsi="Arial" w:cs="Arial"/>
          <w:sz w:val="24"/>
          <w:szCs w:val="24"/>
        </w:rPr>
        <w:t>. PSSRU, University of Kent.</w:t>
      </w:r>
    </w:p>
    <w:p w14:paraId="2425D4DB" w14:textId="6D7CF94B" w:rsidR="00B60A20" w:rsidRPr="008F4295" w:rsidRDefault="000B6EC2" w:rsidP="00AA3E5F">
      <w:pPr>
        <w:spacing w:line="360" w:lineRule="auto"/>
        <w:rPr>
          <w:rFonts w:ascii="Arial" w:hAnsi="Arial" w:cs="Arial"/>
          <w:sz w:val="24"/>
          <w:szCs w:val="24"/>
        </w:rPr>
      </w:pPr>
      <w:r w:rsidRPr="008F4295">
        <w:rPr>
          <w:rFonts w:ascii="Arial" w:hAnsi="Arial" w:cs="Arial"/>
          <w:sz w:val="24"/>
          <w:szCs w:val="24"/>
        </w:rPr>
        <w:lastRenderedPageBreak/>
        <w:t>Orme, S. (2021). </w:t>
      </w:r>
      <w:r w:rsidRPr="008F4295">
        <w:rPr>
          <w:rFonts w:ascii="Arial" w:hAnsi="Arial" w:cs="Arial"/>
          <w:i/>
          <w:iCs/>
          <w:sz w:val="24"/>
          <w:szCs w:val="24"/>
        </w:rPr>
        <w:t>Outcomes Based Accountability and the Programme for Government</w:t>
      </w:r>
      <w:r w:rsidRPr="008F4295">
        <w:rPr>
          <w:rFonts w:ascii="Arial" w:hAnsi="Arial" w:cs="Arial"/>
          <w:sz w:val="24"/>
          <w:szCs w:val="24"/>
        </w:rPr>
        <w:t> (Research Paper NIAR 362-20). Northern Ireland Assembly, Research and Information Service.</w:t>
      </w:r>
      <w:r w:rsidR="00B60A20" w:rsidRPr="008F4295">
        <w:rPr>
          <w:rFonts w:ascii="Arial" w:hAnsi="Arial" w:cs="Arial"/>
          <w:sz w:val="24"/>
          <w:szCs w:val="24"/>
        </w:rPr>
        <w:t xml:space="preserve"> </w:t>
      </w:r>
      <w:hyperlink r:id="rId14" w:history="1">
        <w:r w:rsidR="00B60A20" w:rsidRPr="008F4295">
          <w:rPr>
            <w:rStyle w:val="Hyperlink"/>
            <w:rFonts w:ascii="Arial" w:hAnsi="Arial" w:cs="Arial"/>
            <w:sz w:val="24"/>
            <w:szCs w:val="24"/>
          </w:rPr>
          <w:t>https://www.niassembly.gov.uk/globalassets/documents/raise/publications/2017-2022/2021/executive-office/0221.pdf</w:t>
        </w:r>
      </w:hyperlink>
    </w:p>
    <w:p w14:paraId="1412615F"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Paley, C. and </w:t>
      </w:r>
      <w:proofErr w:type="spellStart"/>
      <w:r w:rsidRPr="008F4295">
        <w:rPr>
          <w:rFonts w:ascii="Arial" w:hAnsi="Arial" w:cs="Arial"/>
          <w:sz w:val="24"/>
          <w:szCs w:val="24"/>
        </w:rPr>
        <w:t>Slasberg</w:t>
      </w:r>
      <w:proofErr w:type="spellEnd"/>
      <w:r w:rsidRPr="008F4295">
        <w:rPr>
          <w:rFonts w:ascii="Arial" w:hAnsi="Arial" w:cs="Arial"/>
          <w:sz w:val="24"/>
          <w:szCs w:val="24"/>
        </w:rPr>
        <w:t xml:space="preserve">, C. (2007) Implemen2ng outcome-based commissioning. </w:t>
      </w:r>
      <w:r w:rsidRPr="008F4295">
        <w:rPr>
          <w:rFonts w:ascii="Arial" w:hAnsi="Arial" w:cs="Arial"/>
          <w:i/>
          <w:iCs/>
          <w:sz w:val="24"/>
          <w:szCs w:val="24"/>
        </w:rPr>
        <w:t>Journal of Care Services Management</w:t>
      </w:r>
      <w:r w:rsidRPr="008F4295">
        <w:rPr>
          <w:rFonts w:ascii="Arial" w:hAnsi="Arial" w:cs="Arial"/>
          <w:sz w:val="24"/>
          <w:szCs w:val="24"/>
        </w:rPr>
        <w:t xml:space="preserve">, 1 (4), 353–361. </w:t>
      </w:r>
    </w:p>
    <w:p w14:paraId="202E38C1"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Pearson, C. (2006) Direct payments and personalisation of care. Edinburgh: Dunedin Academic Press.</w:t>
      </w:r>
    </w:p>
    <w:p w14:paraId="28440348"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Pearson, C. and Ridley, J. (2017) Is personalization the right plan at the wrong 2me? Re-thinking cash-for-care in an age of austerity. </w:t>
      </w:r>
      <w:r w:rsidRPr="008F4295">
        <w:rPr>
          <w:rFonts w:ascii="Arial" w:hAnsi="Arial" w:cs="Arial"/>
          <w:i/>
          <w:iCs/>
          <w:sz w:val="24"/>
          <w:szCs w:val="24"/>
        </w:rPr>
        <w:t>Social Policy &amp; Administra8on</w:t>
      </w:r>
      <w:r w:rsidRPr="008F4295">
        <w:rPr>
          <w:rFonts w:ascii="Arial" w:hAnsi="Arial" w:cs="Arial"/>
          <w:sz w:val="24"/>
          <w:szCs w:val="24"/>
        </w:rPr>
        <w:t xml:space="preserve">. 51 (7), 1042-1059 </w:t>
      </w:r>
    </w:p>
    <w:p w14:paraId="543E995A"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Power to People. (2017). </w:t>
      </w:r>
      <w:r w:rsidRPr="008F4295">
        <w:rPr>
          <w:rFonts w:ascii="Arial" w:hAnsi="Arial" w:cs="Arial"/>
          <w:i/>
          <w:iCs/>
          <w:sz w:val="24"/>
          <w:szCs w:val="24"/>
        </w:rPr>
        <w:t>Advancing Self-Directed Support: Improving Independent Advocacy and Brokerage</w:t>
      </w:r>
      <w:r w:rsidRPr="008F4295">
        <w:rPr>
          <w:rFonts w:ascii="Arial" w:hAnsi="Arial" w:cs="Arial"/>
          <w:sz w:val="24"/>
          <w:szCs w:val="24"/>
        </w:rPr>
        <w:t>. Glasgow: Power to People. https://powertopeople.org.uk/resources/</w:t>
      </w:r>
    </w:p>
    <w:p w14:paraId="008DF461"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Rand S, Malley J, Towers A, Netten A, Forder J (2017) Validity and test-retest reliability of the self-completion adult social care outcomes toolkit (ASCOT-SCT4) with adults with long-term physical, sensory and mental health conditions in England, Health and Quality of Life Outcomes, 15(163). </w:t>
      </w:r>
    </w:p>
    <w:p w14:paraId="60E4E92E"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Rand, S., Towers, A. M., Malley, J., &amp; </w:t>
      </w:r>
      <w:proofErr w:type="spellStart"/>
      <w:r w:rsidRPr="008F4295">
        <w:rPr>
          <w:rFonts w:ascii="Arial" w:hAnsi="Arial" w:cs="Arial"/>
          <w:sz w:val="24"/>
          <w:szCs w:val="24"/>
        </w:rPr>
        <w:t>Silarova</w:t>
      </w:r>
      <w:proofErr w:type="spellEnd"/>
      <w:r w:rsidRPr="008F4295">
        <w:rPr>
          <w:rFonts w:ascii="Arial" w:hAnsi="Arial" w:cs="Arial"/>
          <w:sz w:val="24"/>
          <w:szCs w:val="24"/>
        </w:rPr>
        <w:t>, B. (2023). Exploring the structural characteristics of the Adult Social Care Outcomes Toolkit (ASCOT) and ASCOT</w:t>
      </w:r>
      <w:r w:rsidRPr="008F4295">
        <w:rPr>
          <w:rFonts w:ascii="Cambria Math" w:hAnsi="Cambria Math" w:cs="Cambria Math"/>
          <w:sz w:val="24"/>
          <w:szCs w:val="24"/>
        </w:rPr>
        <w:t>‑</w:t>
      </w:r>
      <w:r w:rsidRPr="008F4295">
        <w:rPr>
          <w:rFonts w:ascii="Arial" w:hAnsi="Arial" w:cs="Arial"/>
          <w:sz w:val="24"/>
          <w:szCs w:val="24"/>
        </w:rPr>
        <w:t>Carer [version 2; peer review: 2 approved]. NIHR Open Research, 2, Article 21.</w:t>
      </w:r>
    </w:p>
    <w:p w14:paraId="48D26F8A"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Regulation and Quality Improvement Authority (RQIA). (2011). Review of Northern Ireland single assessment tool: Stage one overview report. </w:t>
      </w:r>
      <w:hyperlink r:id="rId15" w:history="1">
        <w:r w:rsidRPr="008F4295">
          <w:rPr>
            <w:rStyle w:val="Hyperlink"/>
            <w:rFonts w:ascii="Arial" w:hAnsi="Arial" w:cs="Arial"/>
            <w:sz w:val="24"/>
            <w:szCs w:val="24"/>
          </w:rPr>
          <w:t>https://www</w:t>
        </w:r>
      </w:hyperlink>
      <w:r w:rsidRPr="008F4295">
        <w:rPr>
          <w:rFonts w:ascii="Arial" w:hAnsi="Arial" w:cs="Arial"/>
          <w:sz w:val="24"/>
          <w:szCs w:val="24"/>
        </w:rPr>
        <w:t>.rqia.org.uk/RQIA/files/cf/cf9d2ae7-e732-4a6a-ba64-2e4799bb61c1.pdf</w:t>
      </w:r>
    </w:p>
    <w:p w14:paraId="43C25237" w14:textId="642948D8" w:rsidR="0035117F" w:rsidRPr="008F4295" w:rsidRDefault="00AA3E5F" w:rsidP="00AA3E5F">
      <w:pPr>
        <w:spacing w:line="360" w:lineRule="auto"/>
        <w:rPr>
          <w:rFonts w:ascii="Arial" w:hAnsi="Arial" w:cs="Arial"/>
          <w:sz w:val="24"/>
          <w:szCs w:val="24"/>
        </w:rPr>
      </w:pPr>
      <w:r w:rsidRPr="008F4295">
        <w:rPr>
          <w:rFonts w:ascii="Arial" w:hAnsi="Arial" w:cs="Arial"/>
          <w:sz w:val="24"/>
          <w:szCs w:val="24"/>
        </w:rPr>
        <w:t>Rummery, K. (2023). Neoliberalism and social care: The politics of choice. </w:t>
      </w:r>
      <w:r w:rsidRPr="008F4295">
        <w:rPr>
          <w:rFonts w:ascii="Arial" w:hAnsi="Arial" w:cs="Arial"/>
          <w:i/>
          <w:iCs/>
          <w:sz w:val="24"/>
          <w:szCs w:val="24"/>
        </w:rPr>
        <w:t>Critical Social Policy</w:t>
      </w:r>
      <w:r w:rsidRPr="008F4295">
        <w:rPr>
          <w:rFonts w:ascii="Arial" w:hAnsi="Arial" w:cs="Arial"/>
          <w:sz w:val="24"/>
          <w:szCs w:val="24"/>
        </w:rPr>
        <w:t>, 43(2), 190–208. </w:t>
      </w:r>
      <w:hyperlink r:id="rId16" w:history="1">
        <w:r w:rsidR="005B1341" w:rsidRPr="008F4295">
          <w:rPr>
            <w:rStyle w:val="Hyperlink"/>
            <w:rFonts w:ascii="Arial" w:hAnsi="Arial" w:cs="Arial"/>
            <w:sz w:val="24"/>
            <w:szCs w:val="24"/>
          </w:rPr>
          <w:t>https://doi.org/10.1177/02610183231158644</w:t>
        </w:r>
      </w:hyperlink>
    </w:p>
    <w:p w14:paraId="6B54E6DD" w14:textId="594563B5" w:rsidR="005B1341" w:rsidRPr="008F4295" w:rsidRDefault="005B1341" w:rsidP="00AA3E5F">
      <w:pPr>
        <w:spacing w:line="360" w:lineRule="auto"/>
        <w:rPr>
          <w:rFonts w:ascii="Arial" w:hAnsi="Arial" w:cs="Arial"/>
          <w:sz w:val="24"/>
          <w:szCs w:val="24"/>
        </w:rPr>
      </w:pPr>
      <w:r w:rsidRPr="008F4295">
        <w:rPr>
          <w:rFonts w:ascii="Arial" w:hAnsi="Arial" w:cs="Arial"/>
          <w:sz w:val="24"/>
          <w:szCs w:val="24"/>
        </w:rPr>
        <w:lastRenderedPageBreak/>
        <w:t>Scottish Government. (2014). </w:t>
      </w:r>
      <w:r w:rsidRPr="008F4295">
        <w:rPr>
          <w:rFonts w:ascii="Arial" w:hAnsi="Arial" w:cs="Arial"/>
          <w:i/>
          <w:iCs/>
          <w:sz w:val="24"/>
          <w:szCs w:val="24"/>
        </w:rPr>
        <w:t>Self-directed Support: Practitioners Guidance</w:t>
      </w:r>
      <w:r w:rsidRPr="008F4295">
        <w:rPr>
          <w:rFonts w:ascii="Arial" w:hAnsi="Arial" w:cs="Arial"/>
          <w:sz w:val="24"/>
          <w:szCs w:val="24"/>
        </w:rPr>
        <w:t>. </w:t>
      </w:r>
      <w:hyperlink r:id="rId17" w:tgtFrame="_blank" w:history="1">
        <w:r w:rsidRPr="008F4295">
          <w:rPr>
            <w:rStyle w:val="Hyperlink"/>
            <w:rFonts w:ascii="Arial" w:hAnsi="Arial" w:cs="Arial"/>
            <w:sz w:val="24"/>
            <w:szCs w:val="24"/>
          </w:rPr>
          <w:t>https://www.gov.scot/publications/self-directed-support-practitioners-guidance/</w:t>
        </w:r>
      </w:hyperlink>
    </w:p>
    <w:p w14:paraId="0D01E7D7" w14:textId="65611C0D" w:rsidR="0035117F" w:rsidRPr="008F4295" w:rsidRDefault="0035117F" w:rsidP="00AA3E5F">
      <w:pPr>
        <w:spacing w:line="360" w:lineRule="auto"/>
        <w:rPr>
          <w:rFonts w:ascii="Arial" w:hAnsi="Arial" w:cs="Arial"/>
          <w:sz w:val="24"/>
          <w:szCs w:val="24"/>
        </w:rPr>
      </w:pPr>
      <w:r w:rsidRPr="008F4295">
        <w:rPr>
          <w:rFonts w:ascii="Arial" w:hAnsi="Arial" w:cs="Arial"/>
          <w:sz w:val="24"/>
          <w:szCs w:val="24"/>
        </w:rPr>
        <w:t>Scottish Government. (2023). *Self-Directed Support improvement plan 2023-27*. </w:t>
      </w:r>
      <w:hyperlink r:id="rId18" w:tgtFrame="_blank" w:history="1">
        <w:r w:rsidRPr="008F4295">
          <w:rPr>
            <w:rStyle w:val="Hyperlink"/>
            <w:rFonts w:ascii="Arial" w:hAnsi="Arial" w:cs="Arial"/>
            <w:sz w:val="24"/>
            <w:szCs w:val="24"/>
          </w:rPr>
          <w:t>https://www.gov.scot/binaries/content/documents/govscot/publications/strategy-plan/2023/06/self-directed-support-improvement-plan-20232027/documents/self-directed-support-improvement-plan-2023-27/self-directed-support-improvement-plan-2023-27/govscot%3Adocument/self-directed-support-improvement-plan-2023-27.pdf</w:t>
        </w:r>
      </w:hyperlink>
    </w:p>
    <w:p w14:paraId="08518ABD" w14:textId="68465DE9" w:rsidR="005077F2" w:rsidRPr="008F4295" w:rsidRDefault="005077F2" w:rsidP="00AA3E5F">
      <w:pPr>
        <w:spacing w:line="360" w:lineRule="auto"/>
        <w:rPr>
          <w:rFonts w:ascii="Arial" w:hAnsi="Arial" w:cs="Arial"/>
          <w:sz w:val="24"/>
          <w:szCs w:val="24"/>
        </w:rPr>
      </w:pPr>
      <w:r w:rsidRPr="008F4295">
        <w:rPr>
          <w:rFonts w:ascii="Arial" w:hAnsi="Arial" w:cs="Arial"/>
          <w:sz w:val="24"/>
          <w:szCs w:val="24"/>
        </w:rPr>
        <w:t>Self-directed Support Project Team. (2024). </w:t>
      </w:r>
      <w:r w:rsidRPr="008F4295">
        <w:rPr>
          <w:rFonts w:ascii="Arial" w:hAnsi="Arial" w:cs="Arial"/>
          <w:i/>
          <w:iCs/>
          <w:sz w:val="24"/>
          <w:szCs w:val="24"/>
        </w:rPr>
        <w:t>Self-directed Support learning and improvement framework</w:t>
      </w:r>
      <w:r w:rsidRPr="008F4295">
        <w:rPr>
          <w:rFonts w:ascii="Arial" w:hAnsi="Arial" w:cs="Arial"/>
          <w:sz w:val="24"/>
          <w:szCs w:val="24"/>
        </w:rPr>
        <w:t>. Social Work Scotland. Retrieved from </w:t>
      </w:r>
      <w:hyperlink r:id="rId19" w:tgtFrame="_blank" w:history="1">
        <w:r w:rsidRPr="008F4295">
          <w:rPr>
            <w:rStyle w:val="Hyperlink"/>
            <w:rFonts w:ascii="Arial" w:hAnsi="Arial" w:cs="Arial"/>
            <w:sz w:val="24"/>
            <w:szCs w:val="24"/>
          </w:rPr>
          <w:t>socialworkscotland.org</w:t>
        </w:r>
      </w:hyperlink>
    </w:p>
    <w:p w14:paraId="4B70CA4D"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Taylor-Gooby, P. (2009). Neoliberalism and the welfare state: The new politics of redistribution. </w:t>
      </w:r>
      <w:r w:rsidRPr="008F4295">
        <w:rPr>
          <w:rFonts w:ascii="Arial" w:hAnsi="Arial" w:cs="Arial"/>
          <w:i/>
          <w:iCs/>
          <w:sz w:val="24"/>
          <w:szCs w:val="24"/>
        </w:rPr>
        <w:t>Social Policy and Administration</w:t>
      </w:r>
      <w:r w:rsidRPr="008F4295">
        <w:rPr>
          <w:rFonts w:ascii="Arial" w:hAnsi="Arial" w:cs="Arial"/>
          <w:sz w:val="24"/>
          <w:szCs w:val="24"/>
        </w:rPr>
        <w:t>, 43(2), 143–160. </w:t>
      </w:r>
      <w:hyperlink r:id="rId20" w:history="1">
        <w:r w:rsidRPr="008F4295">
          <w:rPr>
            <w:rStyle w:val="Hyperlink"/>
            <w:rFonts w:ascii="Arial" w:hAnsi="Arial" w:cs="Arial"/>
            <w:sz w:val="24"/>
            <w:szCs w:val="24"/>
          </w:rPr>
          <w:t>https://doi.org/10.1111/j.1467-9515.2009.00670.x</w:t>
        </w:r>
      </w:hyperlink>
    </w:p>
    <w:p w14:paraId="410DBF12" w14:textId="77777777" w:rsidR="00AA3E5F" w:rsidRDefault="00AA3E5F" w:rsidP="00AA3E5F">
      <w:pPr>
        <w:spacing w:line="360" w:lineRule="auto"/>
        <w:rPr>
          <w:rFonts w:ascii="Arial" w:hAnsi="Arial" w:cs="Arial"/>
          <w:sz w:val="24"/>
          <w:szCs w:val="24"/>
        </w:rPr>
      </w:pPr>
      <w:r w:rsidRPr="008F4295">
        <w:rPr>
          <w:rFonts w:ascii="Arial" w:hAnsi="Arial" w:cs="Arial"/>
          <w:sz w:val="24"/>
          <w:szCs w:val="24"/>
        </w:rPr>
        <w:t>Taylor, B. J. (2012). Developing an integrated assessment tool for the health and social care of older people. The British Journal of Social Work, 42(7), 1293–1314.</w:t>
      </w:r>
    </w:p>
    <w:p w14:paraId="285DA7E6" w14:textId="7AB269A9" w:rsidR="00151E61" w:rsidRPr="008F4295" w:rsidRDefault="00151E61" w:rsidP="00AA3E5F">
      <w:pPr>
        <w:spacing w:line="360" w:lineRule="auto"/>
        <w:rPr>
          <w:rFonts w:ascii="Arial" w:hAnsi="Arial" w:cs="Arial"/>
          <w:sz w:val="24"/>
          <w:szCs w:val="24"/>
        </w:rPr>
      </w:pPr>
      <w:r w:rsidRPr="00151E61">
        <w:rPr>
          <w:rFonts w:ascii="Arial" w:hAnsi="Arial" w:cs="Arial"/>
          <w:sz w:val="24"/>
          <w:szCs w:val="24"/>
        </w:rPr>
        <w:t>5 TLAP. (2015). Individual Service Funds (ISFs) and Contracting for Flexible Support Practice guidance to support implementation of the Care Act 2014, London: TLAP.</w:t>
      </w:r>
    </w:p>
    <w:p w14:paraId="4767D9E0"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Waters, J., In Control, &amp; Hatton, C. (2014). Third national personal budget survey: Experiences of personal budget holders and carers across adult social care and health. In Control. https://www.in-control.org.uk/</w:t>
      </w:r>
    </w:p>
    <w:p w14:paraId="761E3306" w14:textId="77777777" w:rsidR="00AA3E5F" w:rsidRPr="008F4295" w:rsidRDefault="00AA3E5F" w:rsidP="00AA3E5F">
      <w:pPr>
        <w:spacing w:line="360" w:lineRule="auto"/>
        <w:rPr>
          <w:rFonts w:ascii="Arial" w:hAnsi="Arial" w:cs="Arial"/>
          <w:sz w:val="24"/>
          <w:szCs w:val="24"/>
        </w:rPr>
      </w:pPr>
      <w:r w:rsidRPr="008F4295">
        <w:rPr>
          <w:rFonts w:ascii="Arial" w:hAnsi="Arial" w:cs="Arial"/>
          <w:sz w:val="24"/>
          <w:szCs w:val="24"/>
        </w:rPr>
        <w:t xml:space="preserve">Wilberforce, M., Glendinning, C., Challis, D., Fernandez, J. L., Jacobs, S., Jones, K., Knapp, M., Manthorpe, J., Moran, N., </w:t>
      </w:r>
      <w:proofErr w:type="spellStart"/>
      <w:r w:rsidRPr="008F4295">
        <w:rPr>
          <w:rFonts w:ascii="Arial" w:hAnsi="Arial" w:cs="Arial"/>
          <w:sz w:val="24"/>
          <w:szCs w:val="24"/>
        </w:rPr>
        <w:t>NeCen</w:t>
      </w:r>
      <w:proofErr w:type="spellEnd"/>
      <w:r w:rsidRPr="008F4295">
        <w:rPr>
          <w:rFonts w:ascii="Arial" w:hAnsi="Arial" w:cs="Arial"/>
          <w:sz w:val="24"/>
          <w:szCs w:val="24"/>
        </w:rPr>
        <w:t xml:space="preserve">, A. and Stevens, M. (2011) Implementing consumer choice in long-term care: the impact of individual budgets on social care providers in England. </w:t>
      </w:r>
      <w:r w:rsidRPr="008F4295">
        <w:rPr>
          <w:rFonts w:ascii="Arial" w:hAnsi="Arial" w:cs="Arial"/>
          <w:i/>
          <w:iCs/>
          <w:sz w:val="24"/>
          <w:szCs w:val="24"/>
        </w:rPr>
        <w:t>Social Policy &amp; Administra8on</w:t>
      </w:r>
      <w:r w:rsidRPr="008F4295">
        <w:rPr>
          <w:rFonts w:ascii="Arial" w:hAnsi="Arial" w:cs="Arial"/>
          <w:sz w:val="24"/>
          <w:szCs w:val="24"/>
        </w:rPr>
        <w:t xml:space="preserve">, 45 (5), 593–612. </w:t>
      </w:r>
    </w:p>
    <w:p w14:paraId="5E966DB6" w14:textId="77777777" w:rsidR="00337500" w:rsidRDefault="00AA3E5F" w:rsidP="008D5DE7">
      <w:pPr>
        <w:spacing w:line="360" w:lineRule="auto"/>
        <w:rPr>
          <w:rFonts w:ascii="Arial" w:hAnsi="Arial" w:cs="Arial"/>
          <w:sz w:val="24"/>
          <w:szCs w:val="24"/>
          <w:u w:val="single"/>
        </w:rPr>
      </w:pPr>
      <w:r w:rsidRPr="008F4295">
        <w:rPr>
          <w:rFonts w:ascii="Arial" w:hAnsi="Arial" w:cs="Arial"/>
          <w:sz w:val="24"/>
          <w:szCs w:val="24"/>
        </w:rPr>
        <w:t>World Health Organization. (2021). </w:t>
      </w:r>
      <w:r w:rsidRPr="008F4295">
        <w:rPr>
          <w:rFonts w:ascii="Arial" w:hAnsi="Arial" w:cs="Arial"/>
          <w:i/>
          <w:iCs/>
          <w:sz w:val="24"/>
          <w:szCs w:val="24"/>
        </w:rPr>
        <w:t>WHOQOL: Measuring quality of life</w:t>
      </w:r>
      <w:r w:rsidRPr="008F4295">
        <w:rPr>
          <w:rFonts w:ascii="Arial" w:hAnsi="Arial" w:cs="Arial"/>
          <w:sz w:val="24"/>
          <w:szCs w:val="24"/>
        </w:rPr>
        <w:t>. Geneva: WHO. </w:t>
      </w:r>
      <w:hyperlink r:id="rId21" w:tgtFrame="_new" w:history="1">
        <w:r w:rsidRPr="008F4295">
          <w:rPr>
            <w:rStyle w:val="Hyperlink"/>
            <w:rFonts w:ascii="Arial" w:hAnsi="Arial" w:cs="Arial"/>
            <w:sz w:val="24"/>
            <w:szCs w:val="24"/>
          </w:rPr>
          <w:t>https://www.who.int/tools/whoqol</w:t>
        </w:r>
      </w:hyperlink>
    </w:p>
    <w:p w14:paraId="73C1D005" w14:textId="48B18DB6" w:rsidR="008D5DE7" w:rsidRPr="00337500" w:rsidRDefault="006500FE" w:rsidP="00C63696">
      <w:pPr>
        <w:pStyle w:val="Heading1"/>
        <w:rPr>
          <w:sz w:val="24"/>
          <w:szCs w:val="24"/>
        </w:rPr>
      </w:pPr>
      <w:r>
        <w:lastRenderedPageBreak/>
        <w:t>Appendices</w:t>
      </w:r>
    </w:p>
    <w:p w14:paraId="6A33B6D1" w14:textId="77777777" w:rsidR="008D5DE7" w:rsidRPr="00D60D96" w:rsidRDefault="008D5DE7" w:rsidP="008D5DE7">
      <w:pPr>
        <w:tabs>
          <w:tab w:val="left" w:pos="3957"/>
        </w:tabs>
        <w:rPr>
          <w:rFonts w:ascii="Arial" w:hAnsi="Arial" w:cs="Arial"/>
          <w:sz w:val="18"/>
          <w:szCs w:val="18"/>
        </w:rPr>
      </w:pPr>
      <w:r w:rsidRPr="00D60D96">
        <w:rPr>
          <w:rFonts w:ascii="Arial" w:hAnsi="Arial" w:cs="Arial"/>
          <w:sz w:val="18"/>
          <w:szCs w:val="18"/>
        </w:rPr>
        <w:tab/>
      </w:r>
    </w:p>
    <w:tbl>
      <w:tblPr>
        <w:tblStyle w:val="TableGrid"/>
        <w:tblW w:w="0" w:type="auto"/>
        <w:tblLook w:val="04A0" w:firstRow="1" w:lastRow="0" w:firstColumn="1" w:lastColumn="0" w:noHBand="0" w:noVBand="1"/>
      </w:tblPr>
      <w:tblGrid>
        <w:gridCol w:w="1203"/>
        <w:gridCol w:w="1373"/>
        <w:gridCol w:w="1095"/>
        <w:gridCol w:w="1399"/>
        <w:gridCol w:w="1193"/>
        <w:gridCol w:w="2753"/>
      </w:tblGrid>
      <w:tr w:rsidR="002E3062" w:rsidRPr="00D60D96" w14:paraId="247D2A92" w14:textId="77777777" w:rsidTr="002E3062">
        <w:tc>
          <w:tcPr>
            <w:tcW w:w="1322" w:type="dxa"/>
          </w:tcPr>
          <w:p w14:paraId="598E0903" w14:textId="4A8857C7" w:rsidR="008D5DE7" w:rsidRPr="00D60D96" w:rsidRDefault="008D5DE7" w:rsidP="008D5DE7">
            <w:pPr>
              <w:tabs>
                <w:tab w:val="left" w:pos="3957"/>
              </w:tabs>
              <w:rPr>
                <w:rFonts w:ascii="Arial" w:hAnsi="Arial" w:cs="Arial"/>
                <w:sz w:val="18"/>
                <w:szCs w:val="18"/>
              </w:rPr>
            </w:pPr>
            <w:r w:rsidRPr="00D60D96">
              <w:rPr>
                <w:rFonts w:ascii="Arial" w:hAnsi="Arial" w:cs="Arial"/>
                <w:b/>
                <w:bCs/>
                <w:color w:val="222222"/>
                <w:sz w:val="18"/>
                <w:szCs w:val="18"/>
                <w:shd w:val="clear" w:color="auto" w:fill="FFFFFF"/>
              </w:rPr>
              <w:t>ASCOT measure(s) †</w:t>
            </w:r>
          </w:p>
        </w:tc>
        <w:tc>
          <w:tcPr>
            <w:tcW w:w="1646" w:type="dxa"/>
          </w:tcPr>
          <w:p w14:paraId="38FC95C0" w14:textId="57DEFC94" w:rsidR="008D5DE7" w:rsidRPr="00D60D96" w:rsidRDefault="008D5DE7" w:rsidP="008D5DE7">
            <w:pPr>
              <w:tabs>
                <w:tab w:val="left" w:pos="3957"/>
              </w:tabs>
              <w:rPr>
                <w:rFonts w:ascii="Arial" w:hAnsi="Arial" w:cs="Arial"/>
                <w:sz w:val="18"/>
                <w:szCs w:val="18"/>
              </w:rPr>
            </w:pPr>
            <w:r w:rsidRPr="00D60D96">
              <w:rPr>
                <w:rFonts w:ascii="Arial" w:hAnsi="Arial" w:cs="Arial"/>
                <w:b/>
                <w:bCs/>
                <w:color w:val="222222"/>
                <w:sz w:val="18"/>
                <w:szCs w:val="18"/>
                <w:shd w:val="clear" w:color="auto" w:fill="FFFFFF"/>
              </w:rPr>
              <w:t>ASCOT-SCT4/INT4 [</w:t>
            </w:r>
            <w:hyperlink r:id="rId22" w:anchor="ref-CR3" w:tooltip="Netten, A., Burge, P., Malley, J., Potoglou, D., Towers, A.-M.M., Brazier, J., et al. (2012). Outcomes of social care for adults: Developing a preference-weighted measure. Health Technol Assess (Rockv), 16, 1–165." w:history="1">
              <w:r w:rsidRPr="00D60D96">
                <w:rPr>
                  <w:rStyle w:val="Hyperlink"/>
                  <w:rFonts w:ascii="Arial" w:hAnsi="Arial" w:cs="Arial"/>
                  <w:b/>
                  <w:bCs/>
                  <w:color w:val="01324B"/>
                  <w:sz w:val="18"/>
                  <w:szCs w:val="18"/>
                </w:rPr>
                <w:t>3</w:t>
              </w:r>
            </w:hyperlink>
            <w:r w:rsidRPr="00D60D96">
              <w:rPr>
                <w:rFonts w:ascii="Arial" w:hAnsi="Arial" w:cs="Arial"/>
                <w:b/>
                <w:bCs/>
                <w:color w:val="222222"/>
                <w:sz w:val="18"/>
                <w:szCs w:val="18"/>
                <w:shd w:val="clear" w:color="auto" w:fill="FFFFFF"/>
              </w:rPr>
              <w:t>]</w:t>
            </w:r>
          </w:p>
        </w:tc>
        <w:tc>
          <w:tcPr>
            <w:tcW w:w="1212" w:type="dxa"/>
          </w:tcPr>
          <w:p w14:paraId="51292F59" w14:textId="77777777" w:rsidR="008D5DE7" w:rsidRPr="00D60D96" w:rsidRDefault="008D5DE7" w:rsidP="008D5DE7">
            <w:pPr>
              <w:pStyle w:val="NormalWeb"/>
              <w:spacing w:before="0" w:beforeAutospacing="0"/>
              <w:rPr>
                <w:rFonts w:ascii="Arial" w:hAnsi="Arial" w:cs="Arial"/>
                <w:b/>
                <w:bCs/>
                <w:color w:val="222222"/>
                <w:sz w:val="18"/>
                <w:szCs w:val="18"/>
              </w:rPr>
            </w:pPr>
            <w:r w:rsidRPr="00D60D96">
              <w:rPr>
                <w:rFonts w:ascii="Arial" w:hAnsi="Arial" w:cs="Arial"/>
                <w:b/>
                <w:bCs/>
                <w:color w:val="222222"/>
                <w:sz w:val="18"/>
                <w:szCs w:val="18"/>
              </w:rPr>
              <w:t>Adapted version for care homes:</w:t>
            </w:r>
          </w:p>
          <w:p w14:paraId="340A43FF" w14:textId="77777777" w:rsidR="008D5DE7" w:rsidRPr="00D60D96" w:rsidRDefault="008D5DE7" w:rsidP="008D5DE7">
            <w:pPr>
              <w:pStyle w:val="NormalWeb"/>
              <w:spacing w:before="0" w:beforeAutospacing="0" w:after="0" w:afterAutospacing="0"/>
              <w:rPr>
                <w:rFonts w:ascii="Arial" w:hAnsi="Arial" w:cs="Arial"/>
                <w:b/>
                <w:bCs/>
                <w:color w:val="222222"/>
                <w:sz w:val="18"/>
                <w:szCs w:val="18"/>
              </w:rPr>
            </w:pPr>
            <w:r w:rsidRPr="00D60D96">
              <w:rPr>
                <w:rFonts w:ascii="Arial" w:hAnsi="Arial" w:cs="Arial"/>
                <w:b/>
                <w:bCs/>
                <w:color w:val="222222"/>
                <w:sz w:val="18"/>
                <w:szCs w:val="18"/>
              </w:rPr>
              <w:t>ASCOT-CH4 [</w:t>
            </w:r>
            <w:hyperlink r:id="rId23" w:anchor="ref-CR10" w:tooltip="Towers, A.-M., Smith, N., Allan, S., Vadean, F., Collins, G., Rand, S., et al. (2021). Care home residents’ quality of life and its association with CQC ratings and workforce issues: The MiCareHQ mixed-methods study. Health Services and Delivery Research, 9, 1" w:history="1">
              <w:r w:rsidRPr="00D60D96">
                <w:rPr>
                  <w:rStyle w:val="Hyperlink"/>
                  <w:rFonts w:ascii="Arial" w:hAnsi="Arial" w:cs="Arial"/>
                  <w:b/>
                  <w:bCs/>
                  <w:color w:val="01324B"/>
                  <w:sz w:val="18"/>
                  <w:szCs w:val="18"/>
                </w:rPr>
                <w:t>10</w:t>
              </w:r>
            </w:hyperlink>
            <w:r w:rsidRPr="00D60D96">
              <w:rPr>
                <w:rFonts w:ascii="Arial" w:hAnsi="Arial" w:cs="Arial"/>
                <w:b/>
                <w:bCs/>
                <w:color w:val="222222"/>
                <w:sz w:val="18"/>
                <w:szCs w:val="18"/>
              </w:rPr>
              <w:t>]</w:t>
            </w:r>
          </w:p>
          <w:p w14:paraId="4D09C289" w14:textId="77777777" w:rsidR="008D5DE7" w:rsidRPr="00D60D96" w:rsidRDefault="008D5DE7" w:rsidP="008D5DE7">
            <w:pPr>
              <w:tabs>
                <w:tab w:val="left" w:pos="3957"/>
              </w:tabs>
              <w:rPr>
                <w:rFonts w:ascii="Arial" w:hAnsi="Arial" w:cs="Arial"/>
                <w:sz w:val="18"/>
                <w:szCs w:val="18"/>
              </w:rPr>
            </w:pPr>
          </w:p>
        </w:tc>
        <w:tc>
          <w:tcPr>
            <w:tcW w:w="1317" w:type="dxa"/>
          </w:tcPr>
          <w:p w14:paraId="288D770E" w14:textId="77777777" w:rsidR="008D5DE7" w:rsidRPr="00D60D96" w:rsidRDefault="008D5DE7" w:rsidP="008D5DE7">
            <w:pPr>
              <w:pStyle w:val="NormalWeb"/>
              <w:spacing w:before="0" w:beforeAutospacing="0"/>
              <w:rPr>
                <w:rFonts w:ascii="Arial" w:hAnsi="Arial" w:cs="Arial"/>
                <w:b/>
                <w:bCs/>
                <w:color w:val="222222"/>
                <w:sz w:val="18"/>
                <w:szCs w:val="18"/>
              </w:rPr>
            </w:pPr>
            <w:r w:rsidRPr="00D60D96">
              <w:rPr>
                <w:rFonts w:ascii="Arial" w:hAnsi="Arial" w:cs="Arial"/>
                <w:b/>
                <w:bCs/>
                <w:color w:val="222222"/>
                <w:sz w:val="18"/>
                <w:szCs w:val="18"/>
              </w:rPr>
              <w:t>Other adapted versions:</w:t>
            </w:r>
          </w:p>
          <w:p w14:paraId="561D29BA" w14:textId="77777777" w:rsidR="008D5DE7" w:rsidRPr="00D60D96" w:rsidRDefault="008D5DE7" w:rsidP="008D5DE7">
            <w:pPr>
              <w:pStyle w:val="NormalWeb"/>
              <w:spacing w:before="0" w:beforeAutospacing="0"/>
              <w:rPr>
                <w:rFonts w:ascii="Arial" w:hAnsi="Arial" w:cs="Arial"/>
                <w:b/>
                <w:bCs/>
                <w:color w:val="222222"/>
                <w:sz w:val="18"/>
                <w:szCs w:val="18"/>
              </w:rPr>
            </w:pPr>
            <w:r w:rsidRPr="00D60D96">
              <w:rPr>
                <w:rFonts w:ascii="Arial" w:hAnsi="Arial" w:cs="Arial"/>
                <w:b/>
                <w:bCs/>
                <w:color w:val="222222"/>
                <w:sz w:val="18"/>
                <w:szCs w:val="18"/>
              </w:rPr>
              <w:t>ASCOT-ER [</w:t>
            </w:r>
            <w:hyperlink r:id="rId24" w:anchor="ref-CR11" w:tooltip="Rand, S., Towers, A.-M., Razik, K., Turnpenny, A., Bradshaw, J., Caiels, J., et al. (2019). Feasibility, factor structure and construct validity of the easy-read adult social care outcomes toolkit (ASCOT-ER). Journal of Intellectual Developmental Disability, 4" w:history="1">
              <w:r w:rsidRPr="00D60D96">
                <w:rPr>
                  <w:rStyle w:val="Hyperlink"/>
                  <w:rFonts w:ascii="Arial" w:hAnsi="Arial" w:cs="Arial"/>
                  <w:b/>
                  <w:bCs/>
                  <w:color w:val="01324B"/>
                  <w:sz w:val="18"/>
                  <w:szCs w:val="18"/>
                </w:rPr>
                <w:t>11</w:t>
              </w:r>
            </w:hyperlink>
            <w:r w:rsidRPr="00D60D96">
              <w:rPr>
                <w:rFonts w:ascii="Arial" w:hAnsi="Arial" w:cs="Arial"/>
                <w:b/>
                <w:bCs/>
                <w:color w:val="222222"/>
                <w:sz w:val="18"/>
                <w:szCs w:val="18"/>
              </w:rPr>
              <w:t>,</w:t>
            </w:r>
            <w:r w:rsidRPr="00D60D96">
              <w:rPr>
                <w:rStyle w:val="apple-converted-space"/>
                <w:rFonts w:ascii="Arial" w:hAnsi="Arial" w:cs="Arial"/>
                <w:b/>
                <w:bCs/>
                <w:color w:val="222222"/>
                <w:sz w:val="18"/>
                <w:szCs w:val="18"/>
              </w:rPr>
              <w:t> </w:t>
            </w:r>
            <w:hyperlink r:id="rId25" w:anchor="ref-CR12" w:tooltip="Turnpenny, A., Caiels, J., Whelton, B., Richardson, L., Beadle-Brown, J., Crowther, T., et al. (2018). Developing an easy read version of the adult social care outcomes toolkit (ASCOT). Journal of Applied Research in Intellectual Disabilities, 31, e36-48. &#10;   " w:history="1">
              <w:r w:rsidRPr="00D60D96">
                <w:rPr>
                  <w:rStyle w:val="Hyperlink"/>
                  <w:rFonts w:ascii="Arial" w:hAnsi="Arial" w:cs="Arial"/>
                  <w:b/>
                  <w:bCs/>
                  <w:color w:val="01324B"/>
                  <w:sz w:val="18"/>
                  <w:szCs w:val="18"/>
                </w:rPr>
                <w:t>12</w:t>
              </w:r>
            </w:hyperlink>
            <w:r w:rsidRPr="00D60D96">
              <w:rPr>
                <w:rFonts w:ascii="Arial" w:hAnsi="Arial" w:cs="Arial"/>
                <w:b/>
                <w:bCs/>
                <w:color w:val="222222"/>
                <w:sz w:val="18"/>
                <w:szCs w:val="18"/>
              </w:rPr>
              <w:t>]</w:t>
            </w:r>
          </w:p>
          <w:p w14:paraId="37D6B603" w14:textId="77777777" w:rsidR="008D5DE7" w:rsidRPr="00D60D96" w:rsidRDefault="008D5DE7" w:rsidP="008D5DE7">
            <w:pPr>
              <w:pStyle w:val="NormalWeb"/>
              <w:spacing w:before="0" w:beforeAutospacing="0"/>
              <w:rPr>
                <w:rFonts w:ascii="Arial" w:hAnsi="Arial" w:cs="Arial"/>
                <w:b/>
                <w:bCs/>
                <w:color w:val="222222"/>
                <w:sz w:val="18"/>
                <w:szCs w:val="18"/>
              </w:rPr>
            </w:pPr>
            <w:r w:rsidRPr="00D60D96">
              <w:rPr>
                <w:rFonts w:ascii="Arial" w:hAnsi="Arial" w:cs="Arial"/>
                <w:b/>
                <w:bCs/>
                <w:color w:val="222222"/>
                <w:sz w:val="18"/>
                <w:szCs w:val="18"/>
              </w:rPr>
              <w:t>ASCOT-ER-OP [</w:t>
            </w:r>
            <w:hyperlink r:id="rId26" w:anchor="ref-CR13" w:tooltip="Caiels, J., Rand, S., Mikelyte, R., Webster, L., Field, E., Towers, AM. (2024). Enhancing quality of life measurement: adapting the ASCOT easy read for older adults accessing social ca`re. Quality of Life Research. 1–12." w:history="1">
              <w:r w:rsidRPr="00D60D96">
                <w:rPr>
                  <w:rStyle w:val="Hyperlink"/>
                  <w:rFonts w:ascii="Arial" w:hAnsi="Arial" w:cs="Arial"/>
                  <w:b/>
                  <w:bCs/>
                  <w:color w:val="01324B"/>
                  <w:sz w:val="18"/>
                  <w:szCs w:val="18"/>
                </w:rPr>
                <w:t>13</w:t>
              </w:r>
            </w:hyperlink>
            <w:r w:rsidRPr="00D60D96">
              <w:rPr>
                <w:rFonts w:ascii="Arial" w:hAnsi="Arial" w:cs="Arial"/>
                <w:b/>
                <w:bCs/>
                <w:color w:val="222222"/>
                <w:sz w:val="18"/>
                <w:szCs w:val="18"/>
              </w:rPr>
              <w:t>]</w:t>
            </w:r>
          </w:p>
          <w:p w14:paraId="43116B14" w14:textId="77777777" w:rsidR="008D5DE7" w:rsidRPr="00D60D96" w:rsidRDefault="008D5DE7" w:rsidP="008D5DE7">
            <w:pPr>
              <w:pStyle w:val="NormalWeb"/>
              <w:spacing w:before="0" w:beforeAutospacing="0" w:after="0" w:afterAutospacing="0"/>
              <w:rPr>
                <w:rFonts w:ascii="Arial" w:hAnsi="Arial" w:cs="Arial"/>
                <w:b/>
                <w:bCs/>
                <w:color w:val="222222"/>
                <w:sz w:val="18"/>
                <w:szCs w:val="18"/>
              </w:rPr>
            </w:pPr>
            <w:r w:rsidRPr="00D60D96">
              <w:rPr>
                <w:rFonts w:ascii="Arial" w:hAnsi="Arial" w:cs="Arial"/>
                <w:b/>
                <w:bCs/>
                <w:color w:val="222222"/>
                <w:sz w:val="18"/>
                <w:szCs w:val="18"/>
              </w:rPr>
              <w:t>ASCOT–Proxy [</w:t>
            </w:r>
            <w:hyperlink r:id="rId27" w:anchor="ref-CR14" w:tooltip="Silarova, B., Rand, S., Towers, A. M., &amp; Jones, K. (2023). Feasibility, validity and reliability of the ASCOT-proxy and ASCOT-carer among unpaid carers of people living with dementia in England. Health and Quality of Life Outcomes, 21, 54. &#10;                htt" w:history="1">
              <w:r w:rsidRPr="00D60D96">
                <w:rPr>
                  <w:rStyle w:val="Hyperlink"/>
                  <w:rFonts w:ascii="Arial" w:hAnsi="Arial" w:cs="Arial"/>
                  <w:b/>
                  <w:bCs/>
                  <w:color w:val="01324B"/>
                  <w:sz w:val="18"/>
                  <w:szCs w:val="18"/>
                </w:rPr>
                <w:t>14</w:t>
              </w:r>
            </w:hyperlink>
            <w:r w:rsidRPr="00D60D96">
              <w:rPr>
                <w:rFonts w:ascii="Arial" w:hAnsi="Arial" w:cs="Arial"/>
                <w:b/>
                <w:bCs/>
                <w:color w:val="222222"/>
                <w:sz w:val="18"/>
                <w:szCs w:val="18"/>
              </w:rPr>
              <w:t>,</w:t>
            </w:r>
            <w:hyperlink r:id="rId28" w:anchor="ref-CR15" w:tooltip="Rand, SE., Caiels, J., (2015). Using proxies to assess quality of life: A review of the issues and challenges [Internet]. Canterbury: Personal Social Services Research Unit, University of Kent. &#10;                https://www.pssru.ac.uk/pub/4980.pdf&#10;            " w:history="1">
              <w:r w:rsidRPr="00D60D96">
                <w:rPr>
                  <w:rStyle w:val="Hyperlink"/>
                  <w:rFonts w:ascii="Arial" w:hAnsi="Arial" w:cs="Arial"/>
                  <w:b/>
                  <w:bCs/>
                  <w:color w:val="01324B"/>
                  <w:sz w:val="18"/>
                  <w:szCs w:val="18"/>
                </w:rPr>
                <w:t>15</w:t>
              </w:r>
            </w:hyperlink>
            <w:r w:rsidRPr="00D60D96">
              <w:rPr>
                <w:rFonts w:ascii="Arial" w:hAnsi="Arial" w:cs="Arial"/>
                <w:b/>
                <w:bCs/>
                <w:color w:val="222222"/>
                <w:sz w:val="18"/>
                <w:szCs w:val="18"/>
              </w:rPr>
              <w:t>,</w:t>
            </w:r>
            <w:hyperlink r:id="rId29" w:anchor="ref-CR16" w:tooltip="Caiels, J., Rand, S., Crowther, T., Collins, G., Forder, J. (2019). Exploring the views of being a proxy from the perspective of unpaid carers and paid carers: Developing a proxy version of the Adult Social Care Outcomes Toolkit (ASCOT). BMC Health Services Re" w:history="1">
              <w:r w:rsidRPr="00D60D96">
                <w:rPr>
                  <w:rStyle w:val="Hyperlink"/>
                  <w:rFonts w:ascii="Arial" w:hAnsi="Arial" w:cs="Arial"/>
                  <w:b/>
                  <w:bCs/>
                  <w:color w:val="01324B"/>
                  <w:sz w:val="18"/>
                  <w:szCs w:val="18"/>
                </w:rPr>
                <w:t>16</w:t>
              </w:r>
            </w:hyperlink>
            <w:r w:rsidRPr="00D60D96">
              <w:rPr>
                <w:rFonts w:ascii="Arial" w:hAnsi="Arial" w:cs="Arial"/>
                <w:b/>
                <w:bCs/>
                <w:color w:val="222222"/>
                <w:sz w:val="18"/>
                <w:szCs w:val="18"/>
              </w:rPr>
              <w:t>,</w:t>
            </w:r>
            <w:hyperlink r:id="rId30" w:anchor="ref-CR17" w:tooltip="Rand, S., Caiels, J., Collins, G., &amp; Forder, J. (2017). Developing a proxy version of the adult social care outcome toolkit (ASCOT). Health and Quality of Life Outcomes, 15, 108." w:history="1">
              <w:r w:rsidRPr="00D60D96">
                <w:rPr>
                  <w:rStyle w:val="Hyperlink"/>
                  <w:rFonts w:ascii="Arial" w:hAnsi="Arial" w:cs="Arial"/>
                  <w:b/>
                  <w:bCs/>
                  <w:color w:val="01324B"/>
                  <w:sz w:val="18"/>
                  <w:szCs w:val="18"/>
                </w:rPr>
                <w:t>17</w:t>
              </w:r>
            </w:hyperlink>
            <w:r w:rsidRPr="00D60D96">
              <w:rPr>
                <w:rFonts w:ascii="Arial" w:hAnsi="Arial" w:cs="Arial"/>
                <w:b/>
                <w:bCs/>
                <w:color w:val="222222"/>
                <w:sz w:val="18"/>
                <w:szCs w:val="18"/>
              </w:rPr>
              <w:t>,</w:t>
            </w:r>
            <w:hyperlink r:id="rId31" w:anchor="ref-CR18" w:tooltip="Rand, S., Towers, A. M., Allan, S., Webster, L., Palmer, S., Carroll, R., Adam, Gordon., Gizdem, Akdur., Claire, Goodman. (2024). Exploratory factor analysis and Rasch analysis to assess the structural validity of the adult social care outcomes toolkit proxy v" w:history="1">
              <w:r w:rsidRPr="00D60D96">
                <w:rPr>
                  <w:rStyle w:val="Hyperlink"/>
                  <w:rFonts w:ascii="Arial" w:hAnsi="Arial" w:cs="Arial"/>
                  <w:b/>
                  <w:bCs/>
                  <w:color w:val="01324B"/>
                  <w:sz w:val="18"/>
                  <w:szCs w:val="18"/>
                </w:rPr>
                <w:t>18</w:t>
              </w:r>
            </w:hyperlink>
            <w:r w:rsidRPr="00D60D96">
              <w:rPr>
                <w:rFonts w:ascii="Arial" w:hAnsi="Arial" w:cs="Arial"/>
                <w:b/>
                <w:bCs/>
                <w:color w:val="222222"/>
                <w:sz w:val="18"/>
                <w:szCs w:val="18"/>
              </w:rPr>
              <w:t>]</w:t>
            </w:r>
          </w:p>
          <w:p w14:paraId="0A78EF2B" w14:textId="77777777" w:rsidR="008D5DE7" w:rsidRPr="00D60D96" w:rsidRDefault="008D5DE7" w:rsidP="008D5DE7">
            <w:pPr>
              <w:tabs>
                <w:tab w:val="left" w:pos="3957"/>
              </w:tabs>
              <w:rPr>
                <w:rFonts w:ascii="Arial" w:hAnsi="Arial" w:cs="Arial"/>
                <w:sz w:val="18"/>
                <w:szCs w:val="18"/>
              </w:rPr>
            </w:pPr>
          </w:p>
        </w:tc>
        <w:tc>
          <w:tcPr>
            <w:tcW w:w="1410" w:type="dxa"/>
          </w:tcPr>
          <w:p w14:paraId="5C7BFF97" w14:textId="0D98542B" w:rsidR="008D5DE7" w:rsidRPr="00D60D96" w:rsidRDefault="008D5DE7" w:rsidP="008D5DE7">
            <w:pPr>
              <w:tabs>
                <w:tab w:val="left" w:pos="3957"/>
              </w:tabs>
              <w:rPr>
                <w:rFonts w:ascii="Arial" w:hAnsi="Arial" w:cs="Arial"/>
                <w:sz w:val="18"/>
                <w:szCs w:val="18"/>
              </w:rPr>
            </w:pPr>
            <w:r w:rsidRPr="00D60D96">
              <w:rPr>
                <w:rFonts w:ascii="Arial" w:hAnsi="Arial" w:cs="Arial"/>
                <w:b/>
                <w:bCs/>
                <w:color w:val="222222"/>
                <w:sz w:val="18"/>
                <w:szCs w:val="18"/>
                <w:shd w:val="clear" w:color="auto" w:fill="FFFFFF"/>
              </w:rPr>
              <w:t>ASCOT-Carer [</w:t>
            </w:r>
            <w:hyperlink r:id="rId32" w:anchor="ref-CR4" w:tooltip="Rand, S., Malley, J. N., Netten, A. P., &amp; Forder, J. E. (2015). Factor structure and construct validity of the adult social care outcomes toolkit for carers (ASCOT-Carer). Quality of Life Research, 24, 2601–2614." w:history="1">
              <w:r w:rsidRPr="00D60D96">
                <w:rPr>
                  <w:rStyle w:val="Hyperlink"/>
                  <w:rFonts w:ascii="Arial" w:hAnsi="Arial" w:cs="Arial"/>
                  <w:b/>
                  <w:bCs/>
                  <w:color w:val="01324B"/>
                  <w:sz w:val="18"/>
                  <w:szCs w:val="18"/>
                </w:rPr>
                <w:t>4</w:t>
              </w:r>
            </w:hyperlink>
            <w:r w:rsidRPr="00D60D96">
              <w:rPr>
                <w:rFonts w:ascii="Arial" w:hAnsi="Arial" w:cs="Arial"/>
                <w:b/>
                <w:bCs/>
                <w:color w:val="222222"/>
                <w:sz w:val="18"/>
                <w:szCs w:val="18"/>
                <w:shd w:val="clear" w:color="auto" w:fill="FFFFFF"/>
              </w:rPr>
              <w:t>,</w:t>
            </w:r>
            <w:r w:rsidRPr="00D60D96">
              <w:rPr>
                <w:rStyle w:val="apple-converted-space"/>
                <w:rFonts w:ascii="Arial" w:hAnsi="Arial" w:cs="Arial"/>
                <w:b/>
                <w:bCs/>
                <w:color w:val="222222"/>
                <w:sz w:val="18"/>
                <w:szCs w:val="18"/>
                <w:shd w:val="clear" w:color="auto" w:fill="FFFFFF"/>
              </w:rPr>
              <w:t> </w:t>
            </w:r>
            <w:hyperlink r:id="rId33" w:anchor="ref-CR19" w:tooltip="Batchelder, L., Malley, J., Burge, P., Lu, H., Saloniki, E.-C., Linnosmaa, I., et al. (2019). Carer social care-related quality of life outcomes: Estimating english preference weights for the adult social care outcomes toolkit for carers (ASCOT-carer). Value i" w:history="1">
              <w:r w:rsidRPr="00D60D96">
                <w:rPr>
                  <w:rStyle w:val="Hyperlink"/>
                  <w:rFonts w:ascii="Arial" w:hAnsi="Arial" w:cs="Arial"/>
                  <w:b/>
                  <w:bCs/>
                  <w:color w:val="01324B"/>
                  <w:sz w:val="18"/>
                  <w:szCs w:val="18"/>
                </w:rPr>
                <w:t>19</w:t>
              </w:r>
            </w:hyperlink>
            <w:r w:rsidRPr="00D60D96">
              <w:rPr>
                <w:rFonts w:ascii="Arial" w:hAnsi="Arial" w:cs="Arial"/>
                <w:b/>
                <w:bCs/>
                <w:color w:val="222222"/>
                <w:sz w:val="18"/>
                <w:szCs w:val="18"/>
                <w:shd w:val="clear" w:color="auto" w:fill="FFFFFF"/>
              </w:rPr>
              <w:t>]</w:t>
            </w:r>
          </w:p>
        </w:tc>
        <w:tc>
          <w:tcPr>
            <w:tcW w:w="2109" w:type="dxa"/>
          </w:tcPr>
          <w:p w14:paraId="774F3B47" w14:textId="367177C8" w:rsidR="008D5DE7" w:rsidRPr="00D60D96" w:rsidRDefault="008D5DE7" w:rsidP="008D5DE7">
            <w:pPr>
              <w:tabs>
                <w:tab w:val="left" w:pos="3957"/>
              </w:tabs>
              <w:rPr>
                <w:rFonts w:ascii="Arial" w:hAnsi="Arial" w:cs="Arial"/>
                <w:sz w:val="18"/>
                <w:szCs w:val="18"/>
              </w:rPr>
            </w:pPr>
            <w:r w:rsidRPr="00D60D96">
              <w:rPr>
                <w:rFonts w:ascii="Arial" w:hAnsi="Arial" w:cs="Arial"/>
                <w:b/>
                <w:bCs/>
                <w:color w:val="222222"/>
                <w:sz w:val="18"/>
                <w:szCs w:val="18"/>
                <w:shd w:val="clear" w:color="auto" w:fill="FFFFFF"/>
              </w:rPr>
              <w:t>ASCOT-Workforce</w:t>
            </w:r>
          </w:p>
          <w:p w14:paraId="234A0EA2" w14:textId="77777777" w:rsidR="008D5DE7" w:rsidRPr="00D60D96" w:rsidRDefault="008D5DE7" w:rsidP="008D5DE7">
            <w:pPr>
              <w:tabs>
                <w:tab w:val="left" w:pos="3957"/>
              </w:tabs>
              <w:rPr>
                <w:rFonts w:ascii="Arial" w:hAnsi="Arial" w:cs="Arial"/>
                <w:sz w:val="18"/>
                <w:szCs w:val="18"/>
              </w:rPr>
            </w:pPr>
          </w:p>
          <w:p w14:paraId="4B13362D" w14:textId="77777777" w:rsidR="008D5DE7" w:rsidRPr="00D60D96" w:rsidRDefault="008D5DE7" w:rsidP="008D5DE7">
            <w:pPr>
              <w:tabs>
                <w:tab w:val="left" w:pos="3957"/>
              </w:tabs>
              <w:rPr>
                <w:rFonts w:ascii="Arial" w:hAnsi="Arial" w:cs="Arial"/>
                <w:sz w:val="18"/>
                <w:szCs w:val="18"/>
              </w:rPr>
            </w:pPr>
          </w:p>
          <w:p w14:paraId="6AA4815F" w14:textId="0737D946" w:rsidR="008D5DE7" w:rsidRPr="00D60D96" w:rsidRDefault="008D5DE7" w:rsidP="008D5DE7">
            <w:pPr>
              <w:tabs>
                <w:tab w:val="left" w:pos="3957"/>
              </w:tabs>
              <w:rPr>
                <w:rFonts w:ascii="Arial" w:hAnsi="Arial" w:cs="Arial"/>
                <w:sz w:val="18"/>
                <w:szCs w:val="18"/>
              </w:rPr>
            </w:pPr>
            <w:hyperlink r:id="rId34" w:history="1">
              <w:r w:rsidRPr="00D60D96">
                <w:rPr>
                  <w:rStyle w:val="Hyperlink"/>
                  <w:rFonts w:ascii="Arial" w:hAnsi="Arial" w:cs="Arial"/>
                  <w:sz w:val="18"/>
                  <w:szCs w:val="18"/>
                </w:rPr>
                <w:t>http://www.pssru.ac.uk/ascot/ascot-workforce</w:t>
              </w:r>
            </w:hyperlink>
          </w:p>
          <w:p w14:paraId="1C091BD3" w14:textId="36C97BF0" w:rsidR="008D5DE7" w:rsidRPr="00D60D96" w:rsidRDefault="008D5DE7" w:rsidP="008D5DE7">
            <w:pPr>
              <w:tabs>
                <w:tab w:val="left" w:pos="3957"/>
              </w:tabs>
              <w:rPr>
                <w:rFonts w:ascii="Arial" w:hAnsi="Arial" w:cs="Arial"/>
                <w:sz w:val="18"/>
                <w:szCs w:val="18"/>
              </w:rPr>
            </w:pPr>
          </w:p>
        </w:tc>
      </w:tr>
      <w:tr w:rsidR="002E3062" w:rsidRPr="00D60D96" w14:paraId="2F5A5124" w14:textId="77777777" w:rsidTr="002E3062">
        <w:tc>
          <w:tcPr>
            <w:tcW w:w="1322" w:type="dxa"/>
          </w:tcPr>
          <w:p w14:paraId="70D6F05D" w14:textId="60577F78" w:rsidR="008D5DE7" w:rsidRPr="00D60D96" w:rsidRDefault="008D5DE7"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Measurement construct</w:t>
            </w:r>
          </w:p>
        </w:tc>
        <w:tc>
          <w:tcPr>
            <w:tcW w:w="1646" w:type="dxa"/>
          </w:tcPr>
          <w:p w14:paraId="00D00B03" w14:textId="42D6608B" w:rsidR="008D5DE7" w:rsidRPr="00D60D96" w:rsidRDefault="008D5DE7"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Social care-related quality of life (</w:t>
            </w:r>
            <w:proofErr w:type="spellStart"/>
            <w:r w:rsidRPr="00D60D96">
              <w:rPr>
                <w:rFonts w:ascii="Arial" w:hAnsi="Arial" w:cs="Arial"/>
                <w:color w:val="222222"/>
                <w:sz w:val="18"/>
                <w:szCs w:val="18"/>
                <w:shd w:val="clear" w:color="auto" w:fill="FFFFFF"/>
              </w:rPr>
              <w:t>SCRQoL</w:t>
            </w:r>
            <w:proofErr w:type="spellEnd"/>
            <w:r w:rsidRPr="00D60D96">
              <w:rPr>
                <w:rFonts w:ascii="Arial" w:hAnsi="Arial" w:cs="Arial"/>
                <w:color w:val="222222"/>
                <w:sz w:val="18"/>
                <w:szCs w:val="18"/>
                <w:shd w:val="clear" w:color="auto" w:fill="FFFFFF"/>
              </w:rPr>
              <w:t>) of adults accessing LTC services</w:t>
            </w:r>
          </w:p>
        </w:tc>
        <w:tc>
          <w:tcPr>
            <w:tcW w:w="1212" w:type="dxa"/>
          </w:tcPr>
          <w:p w14:paraId="484322DE" w14:textId="23DF2EEF" w:rsidR="008D5DE7" w:rsidRPr="00D60D96" w:rsidRDefault="008D5DE7"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Social care-related quality of life (</w:t>
            </w:r>
            <w:proofErr w:type="spellStart"/>
            <w:r w:rsidRPr="00D60D96">
              <w:rPr>
                <w:rFonts w:ascii="Arial" w:hAnsi="Arial" w:cs="Arial"/>
                <w:color w:val="222222"/>
                <w:sz w:val="18"/>
                <w:szCs w:val="18"/>
                <w:shd w:val="clear" w:color="auto" w:fill="FFFFFF"/>
              </w:rPr>
              <w:t>SCRQoL</w:t>
            </w:r>
            <w:proofErr w:type="spellEnd"/>
            <w:r w:rsidRPr="00D60D96">
              <w:rPr>
                <w:rFonts w:ascii="Arial" w:hAnsi="Arial" w:cs="Arial"/>
                <w:color w:val="222222"/>
                <w:sz w:val="18"/>
                <w:szCs w:val="18"/>
                <w:shd w:val="clear" w:color="auto" w:fill="FFFFFF"/>
              </w:rPr>
              <w:t>) of adults accessing LTC services</w:t>
            </w:r>
          </w:p>
        </w:tc>
        <w:tc>
          <w:tcPr>
            <w:tcW w:w="1317" w:type="dxa"/>
          </w:tcPr>
          <w:p w14:paraId="529D8201" w14:textId="637B4352" w:rsidR="008D5DE7" w:rsidRPr="00D60D96" w:rsidRDefault="008D5DE7"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Social care-related quality of life (</w:t>
            </w:r>
            <w:proofErr w:type="spellStart"/>
            <w:r w:rsidRPr="00D60D96">
              <w:rPr>
                <w:rFonts w:ascii="Arial" w:hAnsi="Arial" w:cs="Arial"/>
                <w:color w:val="222222"/>
                <w:sz w:val="18"/>
                <w:szCs w:val="18"/>
                <w:shd w:val="clear" w:color="auto" w:fill="FFFFFF"/>
              </w:rPr>
              <w:t>SCRQoL</w:t>
            </w:r>
            <w:proofErr w:type="spellEnd"/>
            <w:r w:rsidRPr="00D60D96">
              <w:rPr>
                <w:rFonts w:ascii="Arial" w:hAnsi="Arial" w:cs="Arial"/>
                <w:color w:val="222222"/>
                <w:sz w:val="18"/>
                <w:szCs w:val="18"/>
                <w:shd w:val="clear" w:color="auto" w:fill="FFFFFF"/>
              </w:rPr>
              <w:t>) of adults accessing LTC services</w:t>
            </w:r>
          </w:p>
        </w:tc>
        <w:tc>
          <w:tcPr>
            <w:tcW w:w="1410" w:type="dxa"/>
          </w:tcPr>
          <w:p w14:paraId="7F91401E" w14:textId="44438FB5" w:rsidR="008D5DE7" w:rsidRPr="00D60D96" w:rsidRDefault="008D5DE7"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Social care-related quality of life (</w:t>
            </w:r>
            <w:proofErr w:type="spellStart"/>
            <w:r w:rsidRPr="00D60D96">
              <w:rPr>
                <w:rFonts w:ascii="Arial" w:hAnsi="Arial" w:cs="Arial"/>
                <w:color w:val="222222"/>
                <w:sz w:val="18"/>
                <w:szCs w:val="18"/>
                <w:shd w:val="clear" w:color="auto" w:fill="FFFFFF"/>
              </w:rPr>
              <w:t>SCRQoL</w:t>
            </w:r>
            <w:proofErr w:type="spellEnd"/>
            <w:r w:rsidRPr="00D60D96">
              <w:rPr>
                <w:rFonts w:ascii="Arial" w:hAnsi="Arial" w:cs="Arial"/>
                <w:color w:val="222222"/>
                <w:sz w:val="18"/>
                <w:szCs w:val="18"/>
                <w:shd w:val="clear" w:color="auto" w:fill="FFFFFF"/>
              </w:rPr>
              <w:t>) of unpaid (family/friend) carers</w:t>
            </w:r>
          </w:p>
        </w:tc>
        <w:tc>
          <w:tcPr>
            <w:tcW w:w="2109" w:type="dxa"/>
          </w:tcPr>
          <w:p w14:paraId="0255C45A" w14:textId="445235FB" w:rsidR="008D5DE7" w:rsidRPr="00D60D96" w:rsidRDefault="008D5DE7"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Work-related quality of life of the adult social care workforce</w:t>
            </w:r>
          </w:p>
        </w:tc>
      </w:tr>
      <w:tr w:rsidR="002E3062" w:rsidRPr="00D60D96" w14:paraId="1FA4F31B" w14:textId="77777777" w:rsidTr="002E3062">
        <w:tc>
          <w:tcPr>
            <w:tcW w:w="1322" w:type="dxa"/>
          </w:tcPr>
          <w:p w14:paraId="36E79E82" w14:textId="253804C0"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Target group(s)</w:t>
            </w:r>
          </w:p>
        </w:tc>
        <w:tc>
          <w:tcPr>
            <w:tcW w:w="1646" w:type="dxa"/>
          </w:tcPr>
          <w:p w14:paraId="47FE22AC"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Adults, aged 18 + years, accessing LTC services (e.g. homecare, day care, residential care)</w:t>
            </w:r>
          </w:p>
          <w:p w14:paraId="7B84E8A3" w14:textId="77777777" w:rsidR="002E3062" w:rsidRPr="00D60D96" w:rsidRDefault="002E3062" w:rsidP="002E3062">
            <w:pPr>
              <w:pStyle w:val="NormalWeb"/>
              <w:spacing w:before="0" w:beforeAutospacing="0" w:after="0" w:afterAutospacing="0"/>
              <w:rPr>
                <w:rFonts w:ascii="Arial" w:hAnsi="Arial" w:cs="Arial"/>
                <w:color w:val="222222"/>
                <w:sz w:val="18"/>
                <w:szCs w:val="18"/>
              </w:rPr>
            </w:pPr>
            <w:r w:rsidRPr="00D60D96">
              <w:rPr>
                <w:rFonts w:ascii="Arial" w:hAnsi="Arial" w:cs="Arial"/>
                <w:color w:val="222222"/>
                <w:sz w:val="18"/>
                <w:szCs w:val="18"/>
              </w:rPr>
              <w:t>These measures are designed for use across LTC contexts, where it is possible to collect data by self-report</w:t>
            </w:r>
          </w:p>
          <w:p w14:paraId="6EB8B631" w14:textId="77777777" w:rsidR="008D5DE7" w:rsidRPr="00D60D96" w:rsidRDefault="008D5DE7" w:rsidP="008D5DE7">
            <w:pPr>
              <w:tabs>
                <w:tab w:val="left" w:pos="3957"/>
              </w:tabs>
              <w:rPr>
                <w:rFonts w:ascii="Arial" w:hAnsi="Arial" w:cs="Arial"/>
                <w:sz w:val="18"/>
                <w:szCs w:val="18"/>
              </w:rPr>
            </w:pPr>
          </w:p>
        </w:tc>
        <w:tc>
          <w:tcPr>
            <w:tcW w:w="1212" w:type="dxa"/>
          </w:tcPr>
          <w:p w14:paraId="3F327541" w14:textId="49ACF5C3"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Residential or nursing care home residents</w:t>
            </w:r>
          </w:p>
        </w:tc>
        <w:tc>
          <w:tcPr>
            <w:tcW w:w="1317" w:type="dxa"/>
          </w:tcPr>
          <w:p w14:paraId="41E308B9" w14:textId="77777777" w:rsidR="008D5DE7" w:rsidRPr="00D60D96" w:rsidRDefault="008D5DE7" w:rsidP="008D5DE7">
            <w:pPr>
              <w:pStyle w:val="NormalWeb"/>
              <w:spacing w:before="0" w:beforeAutospacing="0"/>
              <w:rPr>
                <w:rFonts w:ascii="Arial" w:hAnsi="Arial" w:cs="Arial"/>
                <w:color w:val="222222"/>
                <w:sz w:val="18"/>
                <w:szCs w:val="18"/>
              </w:rPr>
            </w:pPr>
            <w:r w:rsidRPr="00D60D96">
              <w:rPr>
                <w:rFonts w:ascii="Arial" w:hAnsi="Arial" w:cs="Arial"/>
                <w:color w:val="222222"/>
                <w:sz w:val="18"/>
                <w:szCs w:val="18"/>
              </w:rPr>
              <w:t>Adults, aged 18 + years, accessing LTC services (e.g. homecare, day care, residential care). Adapted versions are designed to support inclusion of people in research, where they are unable to complete the original version (SCT4):</w:t>
            </w:r>
          </w:p>
          <w:p w14:paraId="3DD27700" w14:textId="77777777" w:rsidR="008D5DE7" w:rsidRPr="00D60D96" w:rsidRDefault="008D5DE7" w:rsidP="008D5DE7">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ER: adults with learning disability</w:t>
            </w:r>
          </w:p>
          <w:p w14:paraId="4E2C1404" w14:textId="77777777" w:rsidR="008D5DE7" w:rsidRPr="00D60D96" w:rsidRDefault="008D5DE7" w:rsidP="008D5DE7">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xml:space="preserve">• ER (OP): older adults unable to self-complete ASCOT, e.g., due to mild </w:t>
            </w:r>
            <w:r w:rsidRPr="00D60D96">
              <w:rPr>
                <w:rFonts w:ascii="Arial" w:hAnsi="Arial" w:cs="Arial"/>
                <w:color w:val="222222"/>
                <w:sz w:val="18"/>
                <w:szCs w:val="18"/>
              </w:rPr>
              <w:lastRenderedPageBreak/>
              <w:t>cognitive impairment, dementia</w:t>
            </w:r>
          </w:p>
          <w:p w14:paraId="0C08AF34" w14:textId="77777777" w:rsidR="008D5DE7" w:rsidRPr="00D60D96" w:rsidRDefault="008D5DE7" w:rsidP="008D5DE7">
            <w:pPr>
              <w:pStyle w:val="NormalWeb"/>
              <w:spacing w:before="0" w:beforeAutospacing="0" w:after="0" w:afterAutospacing="0"/>
              <w:rPr>
                <w:rFonts w:ascii="Arial" w:hAnsi="Arial" w:cs="Arial"/>
                <w:color w:val="222222"/>
                <w:sz w:val="18"/>
                <w:szCs w:val="18"/>
              </w:rPr>
            </w:pPr>
            <w:r w:rsidRPr="00D60D96">
              <w:rPr>
                <w:rFonts w:ascii="Arial" w:hAnsi="Arial" w:cs="Arial"/>
                <w:color w:val="222222"/>
                <w:sz w:val="18"/>
                <w:szCs w:val="18"/>
              </w:rPr>
              <w:t>• Proxy: Adults unable to self-report with help or adapted versions</w:t>
            </w:r>
          </w:p>
          <w:p w14:paraId="0DC91768" w14:textId="77777777" w:rsidR="008D5DE7" w:rsidRPr="00D60D96" w:rsidRDefault="008D5DE7" w:rsidP="008D5DE7">
            <w:pPr>
              <w:tabs>
                <w:tab w:val="left" w:pos="3957"/>
              </w:tabs>
              <w:rPr>
                <w:rFonts w:ascii="Arial" w:hAnsi="Arial" w:cs="Arial"/>
                <w:sz w:val="18"/>
                <w:szCs w:val="18"/>
              </w:rPr>
            </w:pPr>
          </w:p>
        </w:tc>
        <w:tc>
          <w:tcPr>
            <w:tcW w:w="1410" w:type="dxa"/>
          </w:tcPr>
          <w:p w14:paraId="7693AD9F" w14:textId="26D79FDC" w:rsidR="008D5DE7" w:rsidRPr="00D60D96" w:rsidRDefault="008D5DE7"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lastRenderedPageBreak/>
              <w:t>Adults, aged 18 + years, who help or support another adult with care and support needs due to disability, long term health conditions or older age, unpaid</w:t>
            </w:r>
          </w:p>
        </w:tc>
        <w:tc>
          <w:tcPr>
            <w:tcW w:w="2109" w:type="dxa"/>
          </w:tcPr>
          <w:p w14:paraId="1A78997C" w14:textId="669341B0" w:rsidR="008D5DE7" w:rsidRPr="00D60D96" w:rsidRDefault="008D5DE7"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Staff working in the adult social care sector. This includes social workers, direct care roles (e.g., care worker, support worker), auxiliary or admin staff (e.g. care home cleaners or cooks), registered managers or other managers at mid-, senior or strategic levels, occupational therapists, nurses and allied health professionals</w:t>
            </w:r>
          </w:p>
        </w:tc>
      </w:tr>
      <w:tr w:rsidR="002E3062" w:rsidRPr="00D60D96" w14:paraId="7D753D40" w14:textId="77777777" w:rsidTr="002E3062">
        <w:tc>
          <w:tcPr>
            <w:tcW w:w="1322" w:type="dxa"/>
          </w:tcPr>
          <w:p w14:paraId="160F0A1C" w14:textId="229773B9"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Data collection</w:t>
            </w:r>
          </w:p>
        </w:tc>
        <w:tc>
          <w:tcPr>
            <w:tcW w:w="1646" w:type="dxa"/>
          </w:tcPr>
          <w:p w14:paraId="5A038998" w14:textId="6140BF99"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Self-completion (SCT4) or Interview (INT4) questionnaire</w:t>
            </w:r>
          </w:p>
        </w:tc>
        <w:tc>
          <w:tcPr>
            <w:tcW w:w="1212" w:type="dxa"/>
          </w:tcPr>
          <w:p w14:paraId="54C2799D" w14:textId="2F5437D8"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Mixed methods, i.e., observation, flexible interview with residents, proxy report by care staff and family</w:t>
            </w:r>
          </w:p>
        </w:tc>
        <w:tc>
          <w:tcPr>
            <w:tcW w:w="1317" w:type="dxa"/>
          </w:tcPr>
          <w:p w14:paraId="43C05D5E" w14:textId="2AF51FBF"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Self-completion (SCT4) questionnaire only</w:t>
            </w:r>
          </w:p>
        </w:tc>
        <w:tc>
          <w:tcPr>
            <w:tcW w:w="1410" w:type="dxa"/>
          </w:tcPr>
          <w:p w14:paraId="45CAB71D" w14:textId="0F90A931"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Self-completion (SCT4) or Interview (INT4) questionnaire</w:t>
            </w:r>
          </w:p>
        </w:tc>
        <w:tc>
          <w:tcPr>
            <w:tcW w:w="2109" w:type="dxa"/>
          </w:tcPr>
          <w:p w14:paraId="0CDFB6D2" w14:textId="51C4E34E"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Self-completion (SCT4) questionnaire only</w:t>
            </w:r>
          </w:p>
        </w:tc>
      </w:tr>
      <w:tr w:rsidR="002E3062" w:rsidRPr="00D60D96" w14:paraId="6D7F2B3B" w14:textId="77777777" w:rsidTr="002E3062">
        <w:tc>
          <w:tcPr>
            <w:tcW w:w="1322" w:type="dxa"/>
          </w:tcPr>
          <w:p w14:paraId="15BBAB7A" w14:textId="5BF63F26"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Domains</w:t>
            </w:r>
          </w:p>
        </w:tc>
        <w:tc>
          <w:tcPr>
            <w:tcW w:w="1646" w:type="dxa"/>
          </w:tcPr>
          <w:p w14:paraId="642D43C6"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Control over daily life</w:t>
            </w:r>
          </w:p>
          <w:p w14:paraId="378DFF89"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Occupation (</w:t>
            </w:r>
            <w:r w:rsidRPr="00D60D96">
              <w:rPr>
                <w:rFonts w:ascii="Arial" w:hAnsi="Arial" w:cs="Arial"/>
                <w:i/>
                <w:iCs/>
                <w:color w:val="222222"/>
                <w:sz w:val="18"/>
                <w:szCs w:val="18"/>
              </w:rPr>
              <w:t>doing things I value and enjoy</w:t>
            </w:r>
            <w:r w:rsidRPr="00D60D96">
              <w:rPr>
                <w:rFonts w:ascii="Arial" w:hAnsi="Arial" w:cs="Arial"/>
                <w:color w:val="222222"/>
                <w:sz w:val="18"/>
                <w:szCs w:val="18"/>
              </w:rPr>
              <w:t>)</w:t>
            </w:r>
          </w:p>
          <w:p w14:paraId="5D91073B"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Social participation</w:t>
            </w:r>
          </w:p>
          <w:p w14:paraId="1FCF41D2"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Personal safety (</w:t>
            </w:r>
            <w:r w:rsidRPr="00D60D96">
              <w:rPr>
                <w:rFonts w:ascii="Arial" w:hAnsi="Arial" w:cs="Arial"/>
                <w:i/>
                <w:iCs/>
                <w:color w:val="222222"/>
                <w:sz w:val="18"/>
                <w:szCs w:val="18"/>
              </w:rPr>
              <w:t>feeling safe</w:t>
            </w:r>
            <w:r w:rsidRPr="00D60D96">
              <w:rPr>
                <w:rFonts w:ascii="Arial" w:hAnsi="Arial" w:cs="Arial"/>
                <w:color w:val="222222"/>
                <w:sz w:val="18"/>
                <w:szCs w:val="18"/>
              </w:rPr>
              <w:t>)</w:t>
            </w:r>
          </w:p>
          <w:p w14:paraId="6D1CD187"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Food and drink</w:t>
            </w:r>
          </w:p>
          <w:p w14:paraId="059F29BF"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Personal comfort and cleanliness</w:t>
            </w:r>
          </w:p>
          <w:p w14:paraId="4611480C"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Accommodation comfort and cleanliness</w:t>
            </w:r>
          </w:p>
          <w:p w14:paraId="2005CF06" w14:textId="77777777" w:rsidR="002E3062" w:rsidRPr="00D60D96" w:rsidRDefault="002E3062" w:rsidP="002E3062">
            <w:pPr>
              <w:pStyle w:val="NormalWeb"/>
              <w:spacing w:before="0" w:beforeAutospacing="0" w:after="0" w:afterAutospacing="0"/>
              <w:rPr>
                <w:rFonts w:ascii="Arial" w:hAnsi="Arial" w:cs="Arial"/>
                <w:color w:val="222222"/>
                <w:sz w:val="18"/>
                <w:szCs w:val="18"/>
              </w:rPr>
            </w:pPr>
            <w:r w:rsidRPr="00D60D96">
              <w:rPr>
                <w:rFonts w:ascii="Arial" w:hAnsi="Arial" w:cs="Arial"/>
                <w:color w:val="222222"/>
                <w:sz w:val="18"/>
                <w:szCs w:val="18"/>
              </w:rPr>
              <w:t>• Dignity††</w:t>
            </w:r>
          </w:p>
          <w:p w14:paraId="5BAE1819" w14:textId="77777777" w:rsidR="008D5DE7" w:rsidRPr="00D60D96" w:rsidRDefault="008D5DE7" w:rsidP="008D5DE7">
            <w:pPr>
              <w:tabs>
                <w:tab w:val="left" w:pos="3957"/>
              </w:tabs>
              <w:rPr>
                <w:rFonts w:ascii="Arial" w:hAnsi="Arial" w:cs="Arial"/>
                <w:sz w:val="18"/>
                <w:szCs w:val="18"/>
              </w:rPr>
            </w:pPr>
          </w:p>
        </w:tc>
        <w:tc>
          <w:tcPr>
            <w:tcW w:w="1212" w:type="dxa"/>
          </w:tcPr>
          <w:p w14:paraId="40DF5A70" w14:textId="26B66249" w:rsidR="008D5DE7" w:rsidRPr="00D60D96" w:rsidRDefault="002E3062" w:rsidP="008D5DE7">
            <w:pPr>
              <w:tabs>
                <w:tab w:val="left" w:pos="3957"/>
              </w:tabs>
              <w:rPr>
                <w:rFonts w:ascii="Arial" w:hAnsi="Arial" w:cs="Arial"/>
                <w:sz w:val="18"/>
                <w:szCs w:val="18"/>
              </w:rPr>
            </w:pPr>
            <w:r w:rsidRPr="00D60D96">
              <w:rPr>
                <w:rFonts w:ascii="Arial" w:hAnsi="Arial" w:cs="Arial"/>
                <w:i/>
                <w:iCs/>
                <w:color w:val="222222"/>
                <w:sz w:val="18"/>
                <w:szCs w:val="18"/>
              </w:rPr>
              <w:t>See ASCOT-SCT4/INT4</w:t>
            </w:r>
          </w:p>
        </w:tc>
        <w:tc>
          <w:tcPr>
            <w:tcW w:w="1317" w:type="dxa"/>
          </w:tcPr>
          <w:p w14:paraId="539D4EFB" w14:textId="3841FC8D" w:rsidR="008D5DE7" w:rsidRPr="00D60D96" w:rsidRDefault="002E3062" w:rsidP="008D5DE7">
            <w:pPr>
              <w:tabs>
                <w:tab w:val="left" w:pos="3957"/>
              </w:tabs>
              <w:rPr>
                <w:rFonts w:ascii="Arial" w:hAnsi="Arial" w:cs="Arial"/>
                <w:sz w:val="18"/>
                <w:szCs w:val="18"/>
              </w:rPr>
            </w:pPr>
            <w:r w:rsidRPr="00D60D96">
              <w:rPr>
                <w:rFonts w:ascii="Arial" w:hAnsi="Arial" w:cs="Arial"/>
                <w:i/>
                <w:iCs/>
                <w:color w:val="222222"/>
                <w:sz w:val="18"/>
                <w:szCs w:val="18"/>
              </w:rPr>
              <w:t>See ASCOT-SCT4/INT4</w:t>
            </w:r>
          </w:p>
        </w:tc>
        <w:tc>
          <w:tcPr>
            <w:tcW w:w="1410" w:type="dxa"/>
          </w:tcPr>
          <w:p w14:paraId="3CA4C7F0"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Control over daily life</w:t>
            </w:r>
          </w:p>
          <w:p w14:paraId="1897040D"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Occupation (</w:t>
            </w:r>
            <w:r w:rsidRPr="00D60D96">
              <w:rPr>
                <w:rFonts w:ascii="Arial" w:hAnsi="Arial" w:cs="Arial"/>
                <w:i/>
                <w:iCs/>
                <w:color w:val="222222"/>
                <w:sz w:val="18"/>
                <w:szCs w:val="18"/>
              </w:rPr>
              <w:t>doing things I value and enjoy</w:t>
            </w:r>
            <w:r w:rsidRPr="00D60D96">
              <w:rPr>
                <w:rFonts w:ascii="Arial" w:hAnsi="Arial" w:cs="Arial"/>
                <w:color w:val="222222"/>
                <w:sz w:val="18"/>
                <w:szCs w:val="18"/>
              </w:rPr>
              <w:t>)</w:t>
            </w:r>
          </w:p>
          <w:p w14:paraId="74833399"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Social participation</w:t>
            </w:r>
          </w:p>
          <w:p w14:paraId="685F5C5B"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Personal safety (</w:t>
            </w:r>
            <w:r w:rsidRPr="00D60D96">
              <w:rPr>
                <w:rFonts w:ascii="Arial" w:hAnsi="Arial" w:cs="Arial"/>
                <w:i/>
                <w:iCs/>
                <w:color w:val="222222"/>
                <w:sz w:val="18"/>
                <w:szCs w:val="18"/>
              </w:rPr>
              <w:t>feeling safe</w:t>
            </w:r>
            <w:r w:rsidRPr="00D60D96">
              <w:rPr>
                <w:rFonts w:ascii="Arial" w:hAnsi="Arial" w:cs="Arial"/>
                <w:color w:val="222222"/>
                <w:sz w:val="18"/>
                <w:szCs w:val="18"/>
              </w:rPr>
              <w:t>)</w:t>
            </w:r>
          </w:p>
          <w:p w14:paraId="2D66FEEE"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Looking after myself</w:t>
            </w:r>
          </w:p>
          <w:p w14:paraId="634EAB34"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Time and space to be myself</w:t>
            </w:r>
          </w:p>
          <w:p w14:paraId="5C0AD350" w14:textId="77777777" w:rsidR="002E3062" w:rsidRPr="00D60D96" w:rsidRDefault="002E3062" w:rsidP="002E3062">
            <w:pPr>
              <w:pStyle w:val="NormalWeb"/>
              <w:spacing w:before="0" w:beforeAutospacing="0" w:after="0" w:afterAutospacing="0"/>
              <w:rPr>
                <w:rFonts w:ascii="Arial" w:hAnsi="Arial" w:cs="Arial"/>
                <w:color w:val="222222"/>
                <w:sz w:val="18"/>
                <w:szCs w:val="18"/>
              </w:rPr>
            </w:pPr>
            <w:r w:rsidRPr="00D60D96">
              <w:rPr>
                <w:rFonts w:ascii="Arial" w:hAnsi="Arial" w:cs="Arial"/>
                <w:color w:val="222222"/>
                <w:sz w:val="18"/>
                <w:szCs w:val="18"/>
              </w:rPr>
              <w:t>• Feeling supported and encouraged in caring role</w:t>
            </w:r>
          </w:p>
          <w:p w14:paraId="54EBDA49" w14:textId="77777777" w:rsidR="008D5DE7" w:rsidRPr="00D60D96" w:rsidRDefault="008D5DE7" w:rsidP="008D5DE7">
            <w:pPr>
              <w:tabs>
                <w:tab w:val="left" w:pos="3957"/>
              </w:tabs>
              <w:rPr>
                <w:rFonts w:ascii="Arial" w:hAnsi="Arial" w:cs="Arial"/>
                <w:sz w:val="18"/>
                <w:szCs w:val="18"/>
              </w:rPr>
            </w:pPr>
          </w:p>
        </w:tc>
        <w:tc>
          <w:tcPr>
            <w:tcW w:w="2109" w:type="dxa"/>
          </w:tcPr>
          <w:p w14:paraId="4D339FE7"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Making a difference</w:t>
            </w:r>
          </w:p>
          <w:p w14:paraId="508A4AF1"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Care relationships</w:t>
            </w:r>
          </w:p>
          <w:p w14:paraId="6469DA36"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Autonomy at work</w:t>
            </w:r>
          </w:p>
          <w:p w14:paraId="4BE54194"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Time to do my job well</w:t>
            </w:r>
          </w:p>
          <w:p w14:paraId="35119D30"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Worrying about work</w:t>
            </w:r>
          </w:p>
          <w:p w14:paraId="7FC80CC8"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Looking after myself at work</w:t>
            </w:r>
          </w:p>
          <w:p w14:paraId="389F4666"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Safety at work</w:t>
            </w:r>
          </w:p>
          <w:p w14:paraId="515C86B4"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Professional relationships</w:t>
            </w:r>
          </w:p>
          <w:p w14:paraId="65A88473"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Feeling supported in role</w:t>
            </w:r>
          </w:p>
          <w:p w14:paraId="0CEE208C"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Skills and knowledge</w:t>
            </w:r>
          </w:p>
          <w:p w14:paraId="26635C80"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Opportunity to develop</w:t>
            </w:r>
          </w:p>
          <w:p w14:paraId="4CE05279"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 Income/financial security</w:t>
            </w:r>
          </w:p>
          <w:p w14:paraId="54C8B9BB" w14:textId="77777777" w:rsidR="002E3062" w:rsidRPr="00D60D96" w:rsidRDefault="002E3062" w:rsidP="002E3062">
            <w:pPr>
              <w:pStyle w:val="NormalWeb"/>
              <w:spacing w:before="0" w:beforeAutospacing="0" w:after="0" w:afterAutospacing="0"/>
              <w:rPr>
                <w:rFonts w:ascii="Arial" w:hAnsi="Arial" w:cs="Arial"/>
                <w:color w:val="222222"/>
                <w:sz w:val="18"/>
                <w:szCs w:val="18"/>
              </w:rPr>
            </w:pPr>
            <w:r w:rsidRPr="00D60D96">
              <w:rPr>
                <w:rFonts w:ascii="Arial" w:hAnsi="Arial" w:cs="Arial"/>
                <w:color w:val="222222"/>
                <w:sz w:val="18"/>
                <w:szCs w:val="18"/>
              </w:rPr>
              <w:t>• Valued by society</w:t>
            </w:r>
          </w:p>
          <w:p w14:paraId="7721F9F5" w14:textId="77777777" w:rsidR="008D5DE7" w:rsidRPr="00D60D96" w:rsidRDefault="008D5DE7" w:rsidP="008D5DE7">
            <w:pPr>
              <w:tabs>
                <w:tab w:val="left" w:pos="3957"/>
              </w:tabs>
              <w:rPr>
                <w:rFonts w:ascii="Arial" w:hAnsi="Arial" w:cs="Arial"/>
                <w:sz w:val="18"/>
                <w:szCs w:val="18"/>
              </w:rPr>
            </w:pPr>
          </w:p>
        </w:tc>
      </w:tr>
      <w:tr w:rsidR="002E3062" w:rsidRPr="00D60D96" w14:paraId="088D8DDD" w14:textId="77777777" w:rsidTr="002E3062">
        <w:tc>
          <w:tcPr>
            <w:tcW w:w="1322" w:type="dxa"/>
          </w:tcPr>
          <w:p w14:paraId="42AA60C2" w14:textId="2AF70748"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UK Preference Weights available?</w:t>
            </w:r>
          </w:p>
        </w:tc>
        <w:tc>
          <w:tcPr>
            <w:tcW w:w="1646" w:type="dxa"/>
          </w:tcPr>
          <w:p w14:paraId="1D4EC2BA" w14:textId="7D2DFBB9"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Yes [</w:t>
            </w:r>
            <w:hyperlink r:id="rId35" w:anchor="ref-CR3" w:tooltip="Netten, A., Burge, P., Malley, J., Potoglou, D., Towers, A.-M.M., Brazier, J., et al. (2012). Outcomes of social care for adults: Developing a preference-weighted measure. Health Technol Assess (Rockv), 16, 1–165." w:history="1">
              <w:r w:rsidRPr="00D60D96">
                <w:rPr>
                  <w:rStyle w:val="Hyperlink"/>
                  <w:rFonts w:ascii="Arial" w:hAnsi="Arial" w:cs="Arial"/>
                  <w:color w:val="01324B"/>
                  <w:sz w:val="18"/>
                  <w:szCs w:val="18"/>
                </w:rPr>
                <w:t>3</w:t>
              </w:r>
            </w:hyperlink>
            <w:r w:rsidRPr="00D60D96">
              <w:rPr>
                <w:rFonts w:ascii="Arial" w:hAnsi="Arial" w:cs="Arial"/>
                <w:color w:val="222222"/>
                <w:sz w:val="18"/>
                <w:szCs w:val="18"/>
                <w:shd w:val="clear" w:color="auto" w:fill="FFFFFF"/>
              </w:rPr>
              <w:t>]</w:t>
            </w:r>
          </w:p>
        </w:tc>
        <w:tc>
          <w:tcPr>
            <w:tcW w:w="1212" w:type="dxa"/>
          </w:tcPr>
          <w:p w14:paraId="611A038B"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t>Yes –</w:t>
            </w:r>
          </w:p>
          <w:p w14:paraId="3E06D05A" w14:textId="77777777" w:rsidR="002E3062" w:rsidRPr="00D60D96" w:rsidRDefault="002E3062" w:rsidP="002E3062">
            <w:pPr>
              <w:pStyle w:val="NormalWeb"/>
              <w:spacing w:before="0" w:beforeAutospacing="0" w:after="0" w:afterAutospacing="0"/>
              <w:rPr>
                <w:rFonts w:ascii="Arial" w:hAnsi="Arial" w:cs="Arial"/>
                <w:color w:val="222222"/>
                <w:sz w:val="18"/>
                <w:szCs w:val="18"/>
              </w:rPr>
            </w:pPr>
            <w:r w:rsidRPr="00D60D96">
              <w:rPr>
                <w:rFonts w:ascii="Arial" w:hAnsi="Arial" w:cs="Arial"/>
                <w:color w:val="222222"/>
                <w:sz w:val="18"/>
                <w:szCs w:val="18"/>
              </w:rPr>
              <w:t xml:space="preserve">apply self-report </w:t>
            </w:r>
            <w:r w:rsidRPr="00D60D96">
              <w:rPr>
                <w:rFonts w:ascii="Arial" w:hAnsi="Arial" w:cs="Arial"/>
                <w:color w:val="222222"/>
                <w:sz w:val="18"/>
                <w:szCs w:val="18"/>
              </w:rPr>
              <w:lastRenderedPageBreak/>
              <w:t>preference weights [</w:t>
            </w:r>
            <w:hyperlink r:id="rId36" w:anchor="ref-CR3" w:tooltip="Netten, A., Burge, P., Malley, J., Potoglou, D., Towers, A.-M.M., Brazier, J., et al. (2012). Outcomes of social care for adults: Developing a preference-weighted measure. Health Technol Assess (Rockv), 16, 1–165." w:history="1">
              <w:r w:rsidRPr="00D60D96">
                <w:rPr>
                  <w:rStyle w:val="Hyperlink"/>
                  <w:rFonts w:ascii="Arial" w:hAnsi="Arial" w:cs="Arial"/>
                  <w:color w:val="01324B"/>
                  <w:sz w:val="18"/>
                  <w:szCs w:val="18"/>
                </w:rPr>
                <w:t>3</w:t>
              </w:r>
            </w:hyperlink>
            <w:r w:rsidRPr="00D60D96">
              <w:rPr>
                <w:rFonts w:ascii="Arial" w:hAnsi="Arial" w:cs="Arial"/>
                <w:color w:val="222222"/>
                <w:sz w:val="18"/>
                <w:szCs w:val="18"/>
              </w:rPr>
              <w:t>]</w:t>
            </w:r>
          </w:p>
          <w:p w14:paraId="719121A6" w14:textId="77777777" w:rsidR="008D5DE7" w:rsidRPr="00D60D96" w:rsidRDefault="008D5DE7" w:rsidP="008D5DE7">
            <w:pPr>
              <w:tabs>
                <w:tab w:val="left" w:pos="3957"/>
              </w:tabs>
              <w:rPr>
                <w:rFonts w:ascii="Arial" w:hAnsi="Arial" w:cs="Arial"/>
                <w:sz w:val="18"/>
                <w:szCs w:val="18"/>
              </w:rPr>
            </w:pPr>
          </w:p>
        </w:tc>
        <w:tc>
          <w:tcPr>
            <w:tcW w:w="1317" w:type="dxa"/>
          </w:tcPr>
          <w:p w14:paraId="2860A853" w14:textId="77777777" w:rsidR="002E3062" w:rsidRPr="00D60D96" w:rsidRDefault="002E3062" w:rsidP="002E3062">
            <w:pPr>
              <w:pStyle w:val="NormalWeb"/>
              <w:spacing w:before="0" w:beforeAutospacing="0"/>
              <w:rPr>
                <w:rFonts w:ascii="Arial" w:hAnsi="Arial" w:cs="Arial"/>
                <w:color w:val="222222"/>
                <w:sz w:val="18"/>
                <w:szCs w:val="18"/>
              </w:rPr>
            </w:pPr>
            <w:r w:rsidRPr="00D60D96">
              <w:rPr>
                <w:rFonts w:ascii="Arial" w:hAnsi="Arial" w:cs="Arial"/>
                <w:color w:val="222222"/>
                <w:sz w:val="18"/>
                <w:szCs w:val="18"/>
              </w:rPr>
              <w:lastRenderedPageBreak/>
              <w:t>Yes –</w:t>
            </w:r>
          </w:p>
          <w:p w14:paraId="1F2651EB" w14:textId="77777777" w:rsidR="002E3062" w:rsidRPr="00D60D96" w:rsidRDefault="002E3062" w:rsidP="002E3062">
            <w:pPr>
              <w:pStyle w:val="NormalWeb"/>
              <w:spacing w:before="0" w:beforeAutospacing="0" w:after="0" w:afterAutospacing="0"/>
              <w:rPr>
                <w:rFonts w:ascii="Arial" w:hAnsi="Arial" w:cs="Arial"/>
                <w:color w:val="222222"/>
                <w:sz w:val="18"/>
                <w:szCs w:val="18"/>
              </w:rPr>
            </w:pPr>
            <w:r w:rsidRPr="00D60D96">
              <w:rPr>
                <w:rFonts w:ascii="Arial" w:hAnsi="Arial" w:cs="Arial"/>
                <w:color w:val="222222"/>
                <w:sz w:val="18"/>
                <w:szCs w:val="18"/>
              </w:rPr>
              <w:t xml:space="preserve">apply self-report </w:t>
            </w:r>
            <w:r w:rsidRPr="00D60D96">
              <w:rPr>
                <w:rFonts w:ascii="Arial" w:hAnsi="Arial" w:cs="Arial"/>
                <w:color w:val="222222"/>
                <w:sz w:val="18"/>
                <w:szCs w:val="18"/>
              </w:rPr>
              <w:lastRenderedPageBreak/>
              <w:t>preference weights [</w:t>
            </w:r>
            <w:hyperlink r:id="rId37" w:anchor="ref-CR3" w:tooltip="Netten, A., Burge, P., Malley, J., Potoglou, D., Towers, A.-M.M., Brazier, J., et al. (2012). Outcomes of social care for adults: Developing a preference-weighted measure. Health Technol Assess (Rockv), 16, 1–165." w:history="1">
              <w:r w:rsidRPr="00D60D96">
                <w:rPr>
                  <w:rStyle w:val="Hyperlink"/>
                  <w:rFonts w:ascii="Arial" w:hAnsi="Arial" w:cs="Arial"/>
                  <w:color w:val="01324B"/>
                  <w:sz w:val="18"/>
                  <w:szCs w:val="18"/>
                </w:rPr>
                <w:t>3</w:t>
              </w:r>
            </w:hyperlink>
            <w:r w:rsidRPr="00D60D96">
              <w:rPr>
                <w:rFonts w:ascii="Arial" w:hAnsi="Arial" w:cs="Arial"/>
                <w:color w:val="222222"/>
                <w:sz w:val="18"/>
                <w:szCs w:val="18"/>
              </w:rPr>
              <w:t>]</w:t>
            </w:r>
          </w:p>
          <w:p w14:paraId="67C4D377" w14:textId="77777777" w:rsidR="008D5DE7" w:rsidRPr="00D60D96" w:rsidRDefault="008D5DE7" w:rsidP="008D5DE7">
            <w:pPr>
              <w:tabs>
                <w:tab w:val="left" w:pos="3957"/>
              </w:tabs>
              <w:rPr>
                <w:rFonts w:ascii="Arial" w:hAnsi="Arial" w:cs="Arial"/>
                <w:sz w:val="18"/>
                <w:szCs w:val="18"/>
              </w:rPr>
            </w:pPr>
          </w:p>
        </w:tc>
        <w:tc>
          <w:tcPr>
            <w:tcW w:w="1410" w:type="dxa"/>
          </w:tcPr>
          <w:p w14:paraId="04F1674F" w14:textId="29E8446A"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lastRenderedPageBreak/>
              <w:t>Yes [</w:t>
            </w:r>
            <w:hyperlink r:id="rId38" w:anchor="ref-CR19" w:tooltip="Batchelder, L., Malley, J., Burge, P., Lu, H., Saloniki, E.-C., Linnosmaa, I., et al. (2019). Carer social care-related quality of life outcomes: Estimating english preference weights for the adult social care outcomes toolkit for carers (ASCOT-carer). Value i" w:history="1">
              <w:r w:rsidRPr="00D60D96">
                <w:rPr>
                  <w:rStyle w:val="Hyperlink"/>
                  <w:rFonts w:ascii="Arial" w:hAnsi="Arial" w:cs="Arial"/>
                  <w:color w:val="01324B"/>
                  <w:sz w:val="18"/>
                  <w:szCs w:val="18"/>
                </w:rPr>
                <w:t>19</w:t>
              </w:r>
            </w:hyperlink>
            <w:r w:rsidRPr="00D60D96">
              <w:rPr>
                <w:rFonts w:ascii="Arial" w:hAnsi="Arial" w:cs="Arial"/>
                <w:color w:val="222222"/>
                <w:sz w:val="18"/>
                <w:szCs w:val="18"/>
                <w:shd w:val="clear" w:color="auto" w:fill="FFFFFF"/>
              </w:rPr>
              <w:t>]</w:t>
            </w:r>
          </w:p>
        </w:tc>
        <w:tc>
          <w:tcPr>
            <w:tcW w:w="2109" w:type="dxa"/>
          </w:tcPr>
          <w:p w14:paraId="3C14E477" w14:textId="7D201900" w:rsidR="008D5DE7" w:rsidRPr="00D60D96" w:rsidRDefault="002E3062" w:rsidP="008D5DE7">
            <w:pPr>
              <w:tabs>
                <w:tab w:val="left" w:pos="3957"/>
              </w:tabs>
              <w:rPr>
                <w:rFonts w:ascii="Arial" w:hAnsi="Arial" w:cs="Arial"/>
                <w:sz w:val="18"/>
                <w:szCs w:val="18"/>
              </w:rPr>
            </w:pPr>
            <w:r w:rsidRPr="00D60D96">
              <w:rPr>
                <w:rFonts w:ascii="Arial" w:hAnsi="Arial" w:cs="Arial"/>
                <w:color w:val="222222"/>
                <w:sz w:val="18"/>
                <w:szCs w:val="18"/>
                <w:shd w:val="clear" w:color="auto" w:fill="FFFFFF"/>
              </w:rPr>
              <w:t>No</w:t>
            </w:r>
          </w:p>
        </w:tc>
      </w:tr>
      <w:tr w:rsidR="002E3062" w:rsidRPr="00D60D96" w14:paraId="5CCFC0CF" w14:textId="77777777">
        <w:tc>
          <w:tcPr>
            <w:tcW w:w="9016" w:type="dxa"/>
            <w:gridSpan w:val="6"/>
          </w:tcPr>
          <w:p w14:paraId="214C9CAA" w14:textId="77777777" w:rsidR="002E3062" w:rsidRPr="00D60D96" w:rsidRDefault="002E3062" w:rsidP="002E3062">
            <w:pPr>
              <w:numPr>
                <w:ilvl w:val="0"/>
                <w:numId w:val="27"/>
              </w:numPr>
              <w:spacing w:before="100" w:beforeAutospacing="1" w:after="100" w:afterAutospacing="1"/>
              <w:rPr>
                <w:rFonts w:ascii="Arial" w:hAnsi="Arial" w:cs="Arial"/>
                <w:color w:val="222222"/>
                <w:sz w:val="18"/>
                <w:szCs w:val="18"/>
              </w:rPr>
            </w:pPr>
            <w:r w:rsidRPr="00D60D96">
              <w:rPr>
                <w:rFonts w:ascii="Arial" w:hAnsi="Arial" w:cs="Arial"/>
                <w:color w:val="222222"/>
                <w:sz w:val="18"/>
                <w:szCs w:val="18"/>
                <w:vertAlign w:val="superscript"/>
              </w:rPr>
              <w:t>†</w:t>
            </w:r>
            <w:r w:rsidRPr="00D60D96">
              <w:rPr>
                <w:rFonts w:ascii="Arial" w:hAnsi="Arial" w:cs="Arial"/>
                <w:color w:val="222222"/>
                <w:sz w:val="18"/>
                <w:szCs w:val="18"/>
              </w:rPr>
              <w:t>ASCOT measures can be obtained for use (subject to licence) from</w:t>
            </w:r>
            <w:r w:rsidRPr="00D60D96">
              <w:rPr>
                <w:rStyle w:val="apple-converted-space"/>
                <w:rFonts w:ascii="Arial" w:hAnsi="Arial" w:cs="Arial"/>
                <w:color w:val="222222"/>
                <w:sz w:val="18"/>
                <w:szCs w:val="18"/>
              </w:rPr>
              <w:t> </w:t>
            </w:r>
            <w:hyperlink r:id="rId39" w:history="1">
              <w:r w:rsidRPr="00D60D96">
                <w:rPr>
                  <w:rStyle w:val="Hyperlink"/>
                  <w:rFonts w:ascii="Arial" w:hAnsi="Arial" w:cs="Arial"/>
                  <w:color w:val="01324B"/>
                  <w:sz w:val="18"/>
                  <w:szCs w:val="18"/>
                </w:rPr>
                <w:t>https://www.pssru.ac.uk/ascot/</w:t>
              </w:r>
            </w:hyperlink>
          </w:p>
          <w:p w14:paraId="1322F470" w14:textId="77777777" w:rsidR="002E3062" w:rsidRPr="00D60D96" w:rsidRDefault="002E3062" w:rsidP="002E3062">
            <w:pPr>
              <w:numPr>
                <w:ilvl w:val="0"/>
                <w:numId w:val="27"/>
              </w:numPr>
              <w:spacing w:before="100" w:beforeAutospacing="1" w:after="100" w:afterAutospacing="1"/>
              <w:rPr>
                <w:rFonts w:ascii="Arial" w:hAnsi="Arial" w:cs="Arial"/>
                <w:color w:val="222222"/>
                <w:sz w:val="18"/>
                <w:szCs w:val="18"/>
              </w:rPr>
            </w:pPr>
            <w:r w:rsidRPr="00D60D96">
              <w:rPr>
                <w:rFonts w:ascii="Arial" w:hAnsi="Arial" w:cs="Arial"/>
                <w:color w:val="222222"/>
                <w:sz w:val="18"/>
                <w:szCs w:val="18"/>
                <w:vertAlign w:val="superscript"/>
              </w:rPr>
              <w:t>††</w:t>
            </w:r>
            <w:r w:rsidRPr="00D60D96">
              <w:rPr>
                <w:rFonts w:ascii="Arial" w:hAnsi="Arial" w:cs="Arial"/>
                <w:color w:val="222222"/>
                <w:sz w:val="18"/>
                <w:szCs w:val="18"/>
              </w:rPr>
              <w:t>There are two items for the dignity domain. These are designed to separate the effect of needing care on a person’s sense of dignity, which is not considered in the final rating, from the specific impact of</w:t>
            </w:r>
            <w:r w:rsidRPr="00D60D96">
              <w:rPr>
                <w:rStyle w:val="apple-converted-space"/>
                <w:rFonts w:ascii="Arial" w:hAnsi="Arial" w:cs="Arial"/>
                <w:color w:val="222222"/>
                <w:sz w:val="18"/>
                <w:szCs w:val="18"/>
              </w:rPr>
              <w:t> </w:t>
            </w:r>
            <w:r w:rsidRPr="00D60D96">
              <w:rPr>
                <w:rFonts w:ascii="Arial" w:hAnsi="Arial" w:cs="Arial"/>
                <w:i/>
                <w:iCs/>
                <w:color w:val="222222"/>
                <w:sz w:val="18"/>
                <w:szCs w:val="18"/>
              </w:rPr>
              <w:t>how care services are offered and delivered</w:t>
            </w:r>
            <w:r w:rsidRPr="00D60D96">
              <w:rPr>
                <w:rStyle w:val="apple-converted-space"/>
                <w:rFonts w:ascii="Arial" w:hAnsi="Arial" w:cs="Arial"/>
                <w:color w:val="222222"/>
                <w:sz w:val="18"/>
                <w:szCs w:val="18"/>
              </w:rPr>
              <w:t> </w:t>
            </w:r>
            <w:r w:rsidRPr="00D60D96">
              <w:rPr>
                <w:rFonts w:ascii="Arial" w:hAnsi="Arial" w:cs="Arial"/>
                <w:color w:val="222222"/>
                <w:sz w:val="18"/>
                <w:szCs w:val="18"/>
              </w:rPr>
              <w:t xml:space="preserve">on the person’s sense of dignity. The rating of the latter item feeds into the overall </w:t>
            </w:r>
            <w:proofErr w:type="spellStart"/>
            <w:r w:rsidRPr="00D60D96">
              <w:rPr>
                <w:rFonts w:ascii="Arial" w:hAnsi="Arial" w:cs="Arial"/>
                <w:color w:val="222222"/>
                <w:sz w:val="18"/>
                <w:szCs w:val="18"/>
              </w:rPr>
              <w:t>SCRQoL</w:t>
            </w:r>
            <w:proofErr w:type="spellEnd"/>
            <w:r w:rsidRPr="00D60D96">
              <w:rPr>
                <w:rFonts w:ascii="Arial" w:hAnsi="Arial" w:cs="Arial"/>
                <w:color w:val="222222"/>
                <w:sz w:val="18"/>
                <w:szCs w:val="18"/>
              </w:rPr>
              <w:t xml:space="preserve"> score/index</w:t>
            </w:r>
          </w:p>
          <w:p w14:paraId="28298B3F" w14:textId="77777777" w:rsidR="002E3062" w:rsidRPr="00D60D96" w:rsidRDefault="002E3062" w:rsidP="008D5DE7">
            <w:pPr>
              <w:tabs>
                <w:tab w:val="left" w:pos="3957"/>
              </w:tabs>
              <w:rPr>
                <w:rFonts w:ascii="Arial" w:hAnsi="Arial" w:cs="Arial"/>
                <w:sz w:val="18"/>
                <w:szCs w:val="18"/>
              </w:rPr>
            </w:pPr>
          </w:p>
        </w:tc>
      </w:tr>
    </w:tbl>
    <w:p w14:paraId="1F51EF4B" w14:textId="04FB0523" w:rsidR="008D5DE7" w:rsidRDefault="008D5DE7" w:rsidP="008D5DE7">
      <w:pPr>
        <w:tabs>
          <w:tab w:val="left" w:pos="3957"/>
        </w:tabs>
        <w:rPr>
          <w:rFonts w:ascii="Arial" w:hAnsi="Arial" w:cs="Arial"/>
        </w:rPr>
      </w:pPr>
    </w:p>
    <w:p w14:paraId="61D14E93" w14:textId="77777777" w:rsidR="00DD6D51" w:rsidRDefault="00DD6D51" w:rsidP="00B96D3E">
      <w:pPr>
        <w:rPr>
          <w:rFonts w:ascii="Arial" w:hAnsi="Arial" w:cs="Arial"/>
        </w:rPr>
      </w:pPr>
    </w:p>
    <w:p w14:paraId="18DD0804" w14:textId="3EB2B70E" w:rsidR="00DD6D51" w:rsidRDefault="00495C56" w:rsidP="00495C56">
      <w:pPr>
        <w:pStyle w:val="Heading1"/>
      </w:pPr>
      <w:r>
        <w:t>Useful Links</w:t>
      </w:r>
    </w:p>
    <w:p w14:paraId="2D00CF68" w14:textId="4170A0FE" w:rsidR="00B96D3E" w:rsidRPr="00BE5143" w:rsidRDefault="00B96D3E" w:rsidP="00BE5143">
      <w:pPr>
        <w:pStyle w:val="ListParagraph"/>
        <w:numPr>
          <w:ilvl w:val="0"/>
          <w:numId w:val="28"/>
        </w:numPr>
        <w:spacing w:line="360" w:lineRule="auto"/>
        <w:rPr>
          <w:rFonts w:ascii="Arial" w:hAnsi="Arial" w:cs="Arial"/>
          <w:sz w:val="24"/>
          <w:szCs w:val="24"/>
        </w:rPr>
      </w:pPr>
      <w:r w:rsidRPr="00BE5143">
        <w:rPr>
          <w:rFonts w:ascii="Arial" w:hAnsi="Arial" w:cs="Arial"/>
          <w:sz w:val="24"/>
          <w:szCs w:val="24"/>
        </w:rPr>
        <w:t xml:space="preserve">For POET Survey see here  </w:t>
      </w:r>
      <w:hyperlink r:id="rId40" w:history="1">
        <w:r w:rsidRPr="00BE5143">
          <w:rPr>
            <w:rStyle w:val="Hyperlink"/>
            <w:rFonts w:ascii="Arial" w:hAnsi="Arial" w:cs="Arial"/>
            <w:sz w:val="24"/>
            <w:szCs w:val="24"/>
          </w:rPr>
          <w:t>https://puttingpeoplefirst.limeask.com/218141</w:t>
        </w:r>
      </w:hyperlink>
    </w:p>
    <w:p w14:paraId="6FD692A7" w14:textId="0BC60EE0" w:rsidR="00B96D3E" w:rsidRPr="00BE5143" w:rsidRDefault="00B96D3E" w:rsidP="00BE5143">
      <w:pPr>
        <w:pStyle w:val="ListParagraph"/>
        <w:numPr>
          <w:ilvl w:val="0"/>
          <w:numId w:val="28"/>
        </w:numPr>
        <w:spacing w:line="360" w:lineRule="auto"/>
        <w:rPr>
          <w:rFonts w:ascii="Arial" w:hAnsi="Arial" w:cs="Arial"/>
          <w:sz w:val="24"/>
          <w:szCs w:val="24"/>
        </w:rPr>
      </w:pPr>
      <w:r w:rsidRPr="00BE5143">
        <w:rPr>
          <w:rFonts w:ascii="Arial" w:hAnsi="Arial" w:cs="Arial"/>
          <w:sz w:val="24"/>
          <w:szCs w:val="24"/>
        </w:rPr>
        <w:t xml:space="preserve">For WHOQOL survey follow this link </w:t>
      </w:r>
      <w:hyperlink r:id="rId41" w:history="1">
        <w:r w:rsidRPr="00BE5143">
          <w:rPr>
            <w:rStyle w:val="Hyperlink"/>
            <w:rFonts w:ascii="Arial" w:hAnsi="Arial" w:cs="Arial"/>
            <w:sz w:val="24"/>
            <w:szCs w:val="24"/>
          </w:rPr>
          <w:t>https://cdn.who.int/media/docs/default-source/publishing-policies/whoqol-bref/english_whoqol_bref.pdf?sfvrsn=3facbb3b_1</w:t>
        </w:r>
      </w:hyperlink>
    </w:p>
    <w:p w14:paraId="47A5C473" w14:textId="49056C3B" w:rsidR="00B96D3E" w:rsidRPr="00BE5143" w:rsidRDefault="007925AD" w:rsidP="00BE5143">
      <w:pPr>
        <w:pStyle w:val="ListParagraph"/>
        <w:numPr>
          <w:ilvl w:val="0"/>
          <w:numId w:val="28"/>
        </w:numPr>
        <w:spacing w:line="360" w:lineRule="auto"/>
        <w:rPr>
          <w:rFonts w:ascii="Arial" w:hAnsi="Arial" w:cs="Arial"/>
          <w:sz w:val="24"/>
          <w:szCs w:val="24"/>
        </w:rPr>
      </w:pPr>
      <w:r w:rsidRPr="00BE5143">
        <w:rPr>
          <w:rFonts w:ascii="Arial" w:hAnsi="Arial" w:cs="Arial"/>
          <w:sz w:val="24"/>
          <w:szCs w:val="24"/>
        </w:rPr>
        <w:t>For ASCOT</w:t>
      </w:r>
      <w:r w:rsidR="00B96D3E" w:rsidRPr="00BE5143">
        <w:rPr>
          <w:rFonts w:ascii="Arial" w:hAnsi="Arial" w:cs="Arial"/>
          <w:sz w:val="24"/>
          <w:szCs w:val="24"/>
        </w:rPr>
        <w:t xml:space="preserve"> </w:t>
      </w:r>
      <w:hyperlink r:id="rId42" w:history="1">
        <w:r w:rsidRPr="00BE5143">
          <w:rPr>
            <w:rStyle w:val="Hyperlink"/>
            <w:rFonts w:ascii="Arial" w:hAnsi="Arial" w:cs="Arial"/>
            <w:sz w:val="24"/>
            <w:szCs w:val="24"/>
          </w:rPr>
          <w:t>https://research.kent.ac.uk/ascot/wp-content/uploads/sites/2976/2025/08/ASCOT-SCT4-v2.3_watermark.pdf</w:t>
        </w:r>
      </w:hyperlink>
    </w:p>
    <w:p w14:paraId="14D7A11F" w14:textId="48221225" w:rsidR="007925AD" w:rsidRPr="00BE5143" w:rsidRDefault="00934D51" w:rsidP="00BE5143">
      <w:pPr>
        <w:pStyle w:val="ListParagraph"/>
        <w:numPr>
          <w:ilvl w:val="0"/>
          <w:numId w:val="28"/>
        </w:numPr>
        <w:spacing w:line="360" w:lineRule="auto"/>
        <w:rPr>
          <w:rFonts w:ascii="Arial" w:hAnsi="Arial" w:cs="Arial"/>
          <w:sz w:val="24"/>
          <w:szCs w:val="24"/>
        </w:rPr>
      </w:pPr>
      <w:r w:rsidRPr="00BE5143">
        <w:rPr>
          <w:rFonts w:ascii="Arial" w:hAnsi="Arial" w:cs="Arial"/>
          <w:sz w:val="24"/>
          <w:szCs w:val="24"/>
        </w:rPr>
        <w:t xml:space="preserve">For </w:t>
      </w:r>
      <w:r w:rsidR="00BE5143" w:rsidRPr="00BE5143">
        <w:rPr>
          <w:rFonts w:ascii="Arial" w:hAnsi="Arial" w:cs="Arial"/>
          <w:sz w:val="24"/>
          <w:szCs w:val="24"/>
        </w:rPr>
        <w:t>Client-Centred Care Questionnaire (CCCQ)</w:t>
      </w:r>
      <w:r w:rsidR="00D944E3">
        <w:rPr>
          <w:rFonts w:ascii="Arial" w:hAnsi="Arial" w:cs="Arial"/>
          <w:sz w:val="24"/>
          <w:szCs w:val="24"/>
        </w:rPr>
        <w:t xml:space="preserve">  </w:t>
      </w:r>
      <w:r w:rsidR="00BE5143">
        <w:rPr>
          <w:rFonts w:ascii="Arial" w:hAnsi="Arial" w:cs="Arial"/>
          <w:sz w:val="24"/>
          <w:szCs w:val="24"/>
        </w:rPr>
        <w:t xml:space="preserve"> </w:t>
      </w:r>
      <w:hyperlink r:id="rId43" w:anchor="need_this_questionnaire" w:history="1">
        <w:r w:rsidR="00BE5143" w:rsidRPr="00310D66">
          <w:rPr>
            <w:rStyle w:val="Hyperlink"/>
            <w:rFonts w:ascii="Arial" w:hAnsi="Arial" w:cs="Arial"/>
            <w:sz w:val="24"/>
            <w:szCs w:val="24"/>
          </w:rPr>
          <w:t>https://eprovide.mapi-trust.org/instruments/client-centred-care questionnaire#need_this_questionnaire</w:t>
        </w:r>
      </w:hyperlink>
    </w:p>
    <w:p w14:paraId="71BD6EC0" w14:textId="77777777" w:rsidR="00F636CA" w:rsidRDefault="00F636CA" w:rsidP="00BE5143">
      <w:pPr>
        <w:pStyle w:val="ListParagraph"/>
        <w:rPr>
          <w:rFonts w:ascii="Arial" w:hAnsi="Arial" w:cs="Arial"/>
        </w:rPr>
      </w:pPr>
    </w:p>
    <w:p w14:paraId="73F1EE93" w14:textId="77777777" w:rsidR="007925AD" w:rsidRPr="00760D8A" w:rsidRDefault="007925AD" w:rsidP="00760D8A">
      <w:pPr>
        <w:ind w:left="360"/>
        <w:rPr>
          <w:rFonts w:ascii="Arial" w:hAnsi="Arial" w:cs="Arial"/>
        </w:rPr>
      </w:pPr>
    </w:p>
    <w:p w14:paraId="6E0E33AF" w14:textId="77777777" w:rsidR="00B96D3E" w:rsidRDefault="00B96D3E" w:rsidP="00B96D3E">
      <w:pPr>
        <w:rPr>
          <w:rFonts w:ascii="Arial" w:hAnsi="Arial" w:cs="Arial"/>
        </w:rPr>
      </w:pPr>
    </w:p>
    <w:p w14:paraId="3BDAE420" w14:textId="77777777" w:rsidR="00B96D3E" w:rsidRDefault="00B96D3E" w:rsidP="00B96D3E">
      <w:pPr>
        <w:rPr>
          <w:rFonts w:ascii="Arial" w:hAnsi="Arial" w:cs="Arial"/>
        </w:rPr>
      </w:pPr>
    </w:p>
    <w:p w14:paraId="08ED6787" w14:textId="7B8581D8" w:rsidR="00B96D3E" w:rsidRPr="00B96D3E" w:rsidRDefault="00B96D3E" w:rsidP="00B96D3E">
      <w:pPr>
        <w:tabs>
          <w:tab w:val="left" w:pos="1290"/>
        </w:tabs>
        <w:rPr>
          <w:rFonts w:ascii="Arial" w:hAnsi="Arial" w:cs="Arial"/>
        </w:rPr>
      </w:pPr>
    </w:p>
    <w:sectPr w:rsidR="00B96D3E" w:rsidRPr="00B96D3E" w:rsidSect="002F0D93">
      <w:headerReference w:type="default" r:id="rId44"/>
      <w:footerReference w:type="default" r:id="rId45"/>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4688" w14:textId="77777777" w:rsidR="00872B21" w:rsidRDefault="00872B21" w:rsidP="00BF47F5">
      <w:pPr>
        <w:spacing w:after="0" w:line="240" w:lineRule="auto"/>
      </w:pPr>
      <w:r>
        <w:separator/>
      </w:r>
    </w:p>
  </w:endnote>
  <w:endnote w:type="continuationSeparator" w:id="0">
    <w:p w14:paraId="4799622F" w14:textId="77777777" w:rsidR="00872B21" w:rsidRDefault="00872B21" w:rsidP="00BF47F5">
      <w:pPr>
        <w:spacing w:after="0" w:line="240" w:lineRule="auto"/>
      </w:pPr>
      <w:r>
        <w:continuationSeparator/>
      </w:r>
    </w:p>
  </w:endnote>
  <w:endnote w:type="continuationNotice" w:id="1">
    <w:p w14:paraId="77B64C6D" w14:textId="77777777" w:rsidR="00872B21" w:rsidRDefault="00872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E9E5" w14:textId="77777777" w:rsidR="00872B21" w:rsidRDefault="00872B21" w:rsidP="00BF47F5">
      <w:pPr>
        <w:spacing w:after="0" w:line="240" w:lineRule="auto"/>
      </w:pPr>
      <w:r>
        <w:separator/>
      </w:r>
    </w:p>
  </w:footnote>
  <w:footnote w:type="continuationSeparator" w:id="0">
    <w:p w14:paraId="6BDCF600" w14:textId="77777777" w:rsidR="00872B21" w:rsidRDefault="00872B21" w:rsidP="00BF47F5">
      <w:pPr>
        <w:spacing w:after="0" w:line="240" w:lineRule="auto"/>
      </w:pPr>
      <w:r>
        <w:continuationSeparator/>
      </w:r>
    </w:p>
  </w:footnote>
  <w:footnote w:type="continuationNotice" w:id="1">
    <w:p w14:paraId="3425F979" w14:textId="77777777" w:rsidR="00872B21" w:rsidRDefault="00872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2D6"/>
    <w:multiLevelType w:val="hybridMultilevel"/>
    <w:tmpl w:val="8888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5"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C7021"/>
    <w:multiLevelType w:val="multilevel"/>
    <w:tmpl w:val="F998B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D727F7"/>
    <w:multiLevelType w:val="multilevel"/>
    <w:tmpl w:val="E194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915BE3"/>
    <w:multiLevelType w:val="multilevel"/>
    <w:tmpl w:val="9A287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18"/>
  </w:num>
  <w:num w:numId="2" w16cid:durableId="605619411">
    <w:abstractNumId w:val="5"/>
  </w:num>
  <w:num w:numId="3" w16cid:durableId="1258758107">
    <w:abstractNumId w:val="14"/>
  </w:num>
  <w:num w:numId="4" w16cid:durableId="1443374632">
    <w:abstractNumId w:val="17"/>
  </w:num>
  <w:num w:numId="5" w16cid:durableId="1844393022">
    <w:abstractNumId w:val="10"/>
  </w:num>
  <w:num w:numId="6" w16cid:durableId="478503642">
    <w:abstractNumId w:val="8"/>
  </w:num>
  <w:num w:numId="7" w16cid:durableId="1230455686">
    <w:abstractNumId w:val="6"/>
  </w:num>
  <w:num w:numId="8" w16cid:durableId="1479107342">
    <w:abstractNumId w:val="19"/>
  </w:num>
  <w:num w:numId="9" w16cid:durableId="1474983265">
    <w:abstractNumId w:val="15"/>
  </w:num>
  <w:num w:numId="10" w16cid:durableId="898714068">
    <w:abstractNumId w:val="25"/>
  </w:num>
  <w:num w:numId="11" w16cid:durableId="732121767">
    <w:abstractNumId w:val="3"/>
  </w:num>
  <w:num w:numId="12" w16cid:durableId="1692492262">
    <w:abstractNumId w:val="2"/>
  </w:num>
  <w:num w:numId="13" w16cid:durableId="1083991055">
    <w:abstractNumId w:val="16"/>
  </w:num>
  <w:num w:numId="14" w16cid:durableId="1229338939">
    <w:abstractNumId w:val="7"/>
  </w:num>
  <w:num w:numId="15" w16cid:durableId="2073235031">
    <w:abstractNumId w:val="12"/>
  </w:num>
  <w:num w:numId="16" w16cid:durableId="853299196">
    <w:abstractNumId w:val="1"/>
  </w:num>
  <w:num w:numId="17" w16cid:durableId="676690292">
    <w:abstractNumId w:val="13"/>
  </w:num>
  <w:num w:numId="18" w16cid:durableId="2091612154">
    <w:abstractNumId w:val="11"/>
  </w:num>
  <w:num w:numId="19" w16cid:durableId="936403990">
    <w:abstractNumId w:val="4"/>
  </w:num>
  <w:num w:numId="20" w16cid:durableId="608465963">
    <w:abstractNumId w:val="20"/>
  </w:num>
  <w:num w:numId="21" w16cid:durableId="1967350930">
    <w:abstractNumId w:val="23"/>
  </w:num>
  <w:num w:numId="22" w16cid:durableId="1843930776">
    <w:abstractNumId w:val="9"/>
  </w:num>
  <w:num w:numId="23" w16cid:durableId="1793356818">
    <w:abstractNumId w:val="26"/>
  </w:num>
  <w:num w:numId="24" w16cid:durableId="1595936992">
    <w:abstractNumId w:val="10"/>
  </w:num>
  <w:num w:numId="25" w16cid:durableId="1538154324">
    <w:abstractNumId w:val="24"/>
  </w:num>
  <w:num w:numId="26" w16cid:durableId="972368091">
    <w:abstractNumId w:val="22"/>
  </w:num>
  <w:num w:numId="27" w16cid:durableId="1242527170">
    <w:abstractNumId w:val="21"/>
  </w:num>
  <w:num w:numId="28" w16cid:durableId="5086376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592"/>
    <w:rsid w:val="00000B35"/>
    <w:rsid w:val="00002008"/>
    <w:rsid w:val="00002224"/>
    <w:rsid w:val="00002350"/>
    <w:rsid w:val="000035F7"/>
    <w:rsid w:val="00004821"/>
    <w:rsid w:val="0001002E"/>
    <w:rsid w:val="00010185"/>
    <w:rsid w:val="00011189"/>
    <w:rsid w:val="000111C6"/>
    <w:rsid w:val="00012D87"/>
    <w:rsid w:val="00013477"/>
    <w:rsid w:val="00014469"/>
    <w:rsid w:val="000152FB"/>
    <w:rsid w:val="000156AA"/>
    <w:rsid w:val="00016384"/>
    <w:rsid w:val="00016E3A"/>
    <w:rsid w:val="0002081C"/>
    <w:rsid w:val="00021211"/>
    <w:rsid w:val="00024013"/>
    <w:rsid w:val="00025790"/>
    <w:rsid w:val="00026E93"/>
    <w:rsid w:val="00034C31"/>
    <w:rsid w:val="00035C26"/>
    <w:rsid w:val="00035F89"/>
    <w:rsid w:val="000362BA"/>
    <w:rsid w:val="00036804"/>
    <w:rsid w:val="000370AF"/>
    <w:rsid w:val="000371B8"/>
    <w:rsid w:val="000377E1"/>
    <w:rsid w:val="000408E9"/>
    <w:rsid w:val="000409D2"/>
    <w:rsid w:val="00040AA5"/>
    <w:rsid w:val="00040E91"/>
    <w:rsid w:val="00042EA9"/>
    <w:rsid w:val="000437DC"/>
    <w:rsid w:val="00044683"/>
    <w:rsid w:val="00047549"/>
    <w:rsid w:val="000510BB"/>
    <w:rsid w:val="000519EE"/>
    <w:rsid w:val="0005276F"/>
    <w:rsid w:val="000546F6"/>
    <w:rsid w:val="00054D27"/>
    <w:rsid w:val="000550A3"/>
    <w:rsid w:val="0005605B"/>
    <w:rsid w:val="00056E60"/>
    <w:rsid w:val="00056EAD"/>
    <w:rsid w:val="00060CF9"/>
    <w:rsid w:val="00061244"/>
    <w:rsid w:val="00061875"/>
    <w:rsid w:val="000618D0"/>
    <w:rsid w:val="00067171"/>
    <w:rsid w:val="0007057F"/>
    <w:rsid w:val="0007092A"/>
    <w:rsid w:val="00071211"/>
    <w:rsid w:val="0007363E"/>
    <w:rsid w:val="00073E21"/>
    <w:rsid w:val="00074656"/>
    <w:rsid w:val="000748CF"/>
    <w:rsid w:val="00074E66"/>
    <w:rsid w:val="00075670"/>
    <w:rsid w:val="00075A5D"/>
    <w:rsid w:val="00075D6A"/>
    <w:rsid w:val="00080719"/>
    <w:rsid w:val="00081BD1"/>
    <w:rsid w:val="000871E9"/>
    <w:rsid w:val="00087EBF"/>
    <w:rsid w:val="00087ED0"/>
    <w:rsid w:val="000921F1"/>
    <w:rsid w:val="00092DE3"/>
    <w:rsid w:val="00092F6B"/>
    <w:rsid w:val="00093057"/>
    <w:rsid w:val="00093A53"/>
    <w:rsid w:val="000950D9"/>
    <w:rsid w:val="000959FC"/>
    <w:rsid w:val="00095F68"/>
    <w:rsid w:val="000973F8"/>
    <w:rsid w:val="000A03F4"/>
    <w:rsid w:val="000A08C9"/>
    <w:rsid w:val="000A0DAA"/>
    <w:rsid w:val="000A3309"/>
    <w:rsid w:val="000A393C"/>
    <w:rsid w:val="000A4772"/>
    <w:rsid w:val="000A5616"/>
    <w:rsid w:val="000A5A4F"/>
    <w:rsid w:val="000A70CC"/>
    <w:rsid w:val="000A721A"/>
    <w:rsid w:val="000B0AE2"/>
    <w:rsid w:val="000B0C9F"/>
    <w:rsid w:val="000B10F2"/>
    <w:rsid w:val="000B1CAE"/>
    <w:rsid w:val="000B2554"/>
    <w:rsid w:val="000B25A5"/>
    <w:rsid w:val="000B2D09"/>
    <w:rsid w:val="000B3CEF"/>
    <w:rsid w:val="000B4861"/>
    <w:rsid w:val="000B6EC2"/>
    <w:rsid w:val="000B79D3"/>
    <w:rsid w:val="000C09A6"/>
    <w:rsid w:val="000C0C64"/>
    <w:rsid w:val="000C0E84"/>
    <w:rsid w:val="000C207E"/>
    <w:rsid w:val="000C287D"/>
    <w:rsid w:val="000C2921"/>
    <w:rsid w:val="000C3029"/>
    <w:rsid w:val="000C34AA"/>
    <w:rsid w:val="000C39D8"/>
    <w:rsid w:val="000C480F"/>
    <w:rsid w:val="000C6F72"/>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33A9"/>
    <w:rsid w:val="000F3A9D"/>
    <w:rsid w:val="000F4B85"/>
    <w:rsid w:val="000F62D9"/>
    <w:rsid w:val="000F62EE"/>
    <w:rsid w:val="000F6434"/>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4FE8"/>
    <w:rsid w:val="00125AF9"/>
    <w:rsid w:val="00126C65"/>
    <w:rsid w:val="00127FD5"/>
    <w:rsid w:val="00131F82"/>
    <w:rsid w:val="001348CD"/>
    <w:rsid w:val="00134BAD"/>
    <w:rsid w:val="00135D51"/>
    <w:rsid w:val="00135D8A"/>
    <w:rsid w:val="00135DB8"/>
    <w:rsid w:val="00136AEB"/>
    <w:rsid w:val="00136C0B"/>
    <w:rsid w:val="0014146C"/>
    <w:rsid w:val="00141A5E"/>
    <w:rsid w:val="0014314C"/>
    <w:rsid w:val="0014394F"/>
    <w:rsid w:val="00143BC7"/>
    <w:rsid w:val="00145FB3"/>
    <w:rsid w:val="00146690"/>
    <w:rsid w:val="00146770"/>
    <w:rsid w:val="001474E5"/>
    <w:rsid w:val="00151E61"/>
    <w:rsid w:val="00152520"/>
    <w:rsid w:val="00153D21"/>
    <w:rsid w:val="00155904"/>
    <w:rsid w:val="001561DF"/>
    <w:rsid w:val="00157E52"/>
    <w:rsid w:val="001623F5"/>
    <w:rsid w:val="0016434D"/>
    <w:rsid w:val="00165131"/>
    <w:rsid w:val="001652EA"/>
    <w:rsid w:val="0016623E"/>
    <w:rsid w:val="00167A31"/>
    <w:rsid w:val="0017152F"/>
    <w:rsid w:val="00172D2C"/>
    <w:rsid w:val="001741BA"/>
    <w:rsid w:val="00177895"/>
    <w:rsid w:val="00177DC0"/>
    <w:rsid w:val="00180322"/>
    <w:rsid w:val="001845EA"/>
    <w:rsid w:val="0018673F"/>
    <w:rsid w:val="00186965"/>
    <w:rsid w:val="00187356"/>
    <w:rsid w:val="00187B75"/>
    <w:rsid w:val="00187E4E"/>
    <w:rsid w:val="001914C6"/>
    <w:rsid w:val="001918A7"/>
    <w:rsid w:val="001921CA"/>
    <w:rsid w:val="001941CB"/>
    <w:rsid w:val="00194F94"/>
    <w:rsid w:val="00197F9A"/>
    <w:rsid w:val="001A0838"/>
    <w:rsid w:val="001A0A94"/>
    <w:rsid w:val="001A0E31"/>
    <w:rsid w:val="001A115F"/>
    <w:rsid w:val="001A19C0"/>
    <w:rsid w:val="001A39B9"/>
    <w:rsid w:val="001A3C9C"/>
    <w:rsid w:val="001A76B1"/>
    <w:rsid w:val="001B04A2"/>
    <w:rsid w:val="001B3BA9"/>
    <w:rsid w:val="001B3D47"/>
    <w:rsid w:val="001B3F11"/>
    <w:rsid w:val="001B5DEA"/>
    <w:rsid w:val="001B610D"/>
    <w:rsid w:val="001B67E8"/>
    <w:rsid w:val="001B710A"/>
    <w:rsid w:val="001B7333"/>
    <w:rsid w:val="001B73EF"/>
    <w:rsid w:val="001B7718"/>
    <w:rsid w:val="001B7C9D"/>
    <w:rsid w:val="001C01F6"/>
    <w:rsid w:val="001C109D"/>
    <w:rsid w:val="001C1564"/>
    <w:rsid w:val="001C1B7B"/>
    <w:rsid w:val="001C3632"/>
    <w:rsid w:val="001C455B"/>
    <w:rsid w:val="001C597C"/>
    <w:rsid w:val="001C5E60"/>
    <w:rsid w:val="001C5EAF"/>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33B5"/>
    <w:rsid w:val="001E443C"/>
    <w:rsid w:val="001E4BB6"/>
    <w:rsid w:val="001E5E9F"/>
    <w:rsid w:val="001E69DB"/>
    <w:rsid w:val="001E6BE2"/>
    <w:rsid w:val="001F16A2"/>
    <w:rsid w:val="001F4799"/>
    <w:rsid w:val="001F4AAD"/>
    <w:rsid w:val="001F6A80"/>
    <w:rsid w:val="001F6B0A"/>
    <w:rsid w:val="001F7013"/>
    <w:rsid w:val="00202327"/>
    <w:rsid w:val="00203D82"/>
    <w:rsid w:val="00205273"/>
    <w:rsid w:val="0020615D"/>
    <w:rsid w:val="00211967"/>
    <w:rsid w:val="00211ADA"/>
    <w:rsid w:val="00212070"/>
    <w:rsid w:val="0021218A"/>
    <w:rsid w:val="00212976"/>
    <w:rsid w:val="002134AF"/>
    <w:rsid w:val="00214F92"/>
    <w:rsid w:val="0021592A"/>
    <w:rsid w:val="002176DA"/>
    <w:rsid w:val="00220040"/>
    <w:rsid w:val="0022077C"/>
    <w:rsid w:val="002210E4"/>
    <w:rsid w:val="00221470"/>
    <w:rsid w:val="00221BF4"/>
    <w:rsid w:val="00221EB7"/>
    <w:rsid w:val="002229A1"/>
    <w:rsid w:val="00223E7C"/>
    <w:rsid w:val="00224C41"/>
    <w:rsid w:val="00224D55"/>
    <w:rsid w:val="00225616"/>
    <w:rsid w:val="00225DA4"/>
    <w:rsid w:val="00227B3C"/>
    <w:rsid w:val="00231D00"/>
    <w:rsid w:val="00232C4B"/>
    <w:rsid w:val="0023336B"/>
    <w:rsid w:val="0023373B"/>
    <w:rsid w:val="002342AA"/>
    <w:rsid w:val="002344EF"/>
    <w:rsid w:val="002363AE"/>
    <w:rsid w:val="002401D0"/>
    <w:rsid w:val="002409E7"/>
    <w:rsid w:val="0024238B"/>
    <w:rsid w:val="0024263E"/>
    <w:rsid w:val="00243F2B"/>
    <w:rsid w:val="00244D37"/>
    <w:rsid w:val="00246A8E"/>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0345"/>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700"/>
    <w:rsid w:val="002A0EC2"/>
    <w:rsid w:val="002A507A"/>
    <w:rsid w:val="002A6F0D"/>
    <w:rsid w:val="002A6F81"/>
    <w:rsid w:val="002A70EB"/>
    <w:rsid w:val="002B00D8"/>
    <w:rsid w:val="002B028C"/>
    <w:rsid w:val="002B2776"/>
    <w:rsid w:val="002B47FB"/>
    <w:rsid w:val="002B5958"/>
    <w:rsid w:val="002B7195"/>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062"/>
    <w:rsid w:val="002E347C"/>
    <w:rsid w:val="002E45E0"/>
    <w:rsid w:val="002E48EB"/>
    <w:rsid w:val="002E4D50"/>
    <w:rsid w:val="002E50A4"/>
    <w:rsid w:val="002E5A28"/>
    <w:rsid w:val="002E5A58"/>
    <w:rsid w:val="002E62A7"/>
    <w:rsid w:val="002E63DD"/>
    <w:rsid w:val="002E69FA"/>
    <w:rsid w:val="002E6E8F"/>
    <w:rsid w:val="002E6EE7"/>
    <w:rsid w:val="002E73B4"/>
    <w:rsid w:val="002F0D93"/>
    <w:rsid w:val="002F0EC0"/>
    <w:rsid w:val="002F1459"/>
    <w:rsid w:val="002F1CC3"/>
    <w:rsid w:val="002F3753"/>
    <w:rsid w:val="002F501E"/>
    <w:rsid w:val="002F649E"/>
    <w:rsid w:val="002F6D78"/>
    <w:rsid w:val="00301014"/>
    <w:rsid w:val="00303B9D"/>
    <w:rsid w:val="003049BA"/>
    <w:rsid w:val="00304A6D"/>
    <w:rsid w:val="00305744"/>
    <w:rsid w:val="0030686E"/>
    <w:rsid w:val="00306D54"/>
    <w:rsid w:val="00307918"/>
    <w:rsid w:val="00312AC7"/>
    <w:rsid w:val="00313888"/>
    <w:rsid w:val="00314192"/>
    <w:rsid w:val="00317232"/>
    <w:rsid w:val="0032056B"/>
    <w:rsid w:val="0032214D"/>
    <w:rsid w:val="003234C1"/>
    <w:rsid w:val="00324401"/>
    <w:rsid w:val="003245A2"/>
    <w:rsid w:val="00327CCA"/>
    <w:rsid w:val="0033315C"/>
    <w:rsid w:val="0033356A"/>
    <w:rsid w:val="00334F09"/>
    <w:rsid w:val="00336552"/>
    <w:rsid w:val="00337297"/>
    <w:rsid w:val="00337500"/>
    <w:rsid w:val="00337E2A"/>
    <w:rsid w:val="00341196"/>
    <w:rsid w:val="003418C1"/>
    <w:rsid w:val="00342E30"/>
    <w:rsid w:val="003440D8"/>
    <w:rsid w:val="00344A16"/>
    <w:rsid w:val="00345BD3"/>
    <w:rsid w:val="003475CA"/>
    <w:rsid w:val="00347B20"/>
    <w:rsid w:val="0035020C"/>
    <w:rsid w:val="00350A08"/>
    <w:rsid w:val="00351019"/>
    <w:rsid w:val="0035117F"/>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B85"/>
    <w:rsid w:val="00381D4F"/>
    <w:rsid w:val="00381F9E"/>
    <w:rsid w:val="00382D47"/>
    <w:rsid w:val="00384613"/>
    <w:rsid w:val="003848E1"/>
    <w:rsid w:val="00386315"/>
    <w:rsid w:val="0038662A"/>
    <w:rsid w:val="00387741"/>
    <w:rsid w:val="003914A9"/>
    <w:rsid w:val="00391D62"/>
    <w:rsid w:val="00392AD5"/>
    <w:rsid w:val="00393009"/>
    <w:rsid w:val="00394124"/>
    <w:rsid w:val="003946AF"/>
    <w:rsid w:val="00395A21"/>
    <w:rsid w:val="0039791A"/>
    <w:rsid w:val="003A0E51"/>
    <w:rsid w:val="003A1889"/>
    <w:rsid w:val="003A218C"/>
    <w:rsid w:val="003A2DEB"/>
    <w:rsid w:val="003A2F0D"/>
    <w:rsid w:val="003A323A"/>
    <w:rsid w:val="003A4CEE"/>
    <w:rsid w:val="003A5341"/>
    <w:rsid w:val="003A563D"/>
    <w:rsid w:val="003A5E80"/>
    <w:rsid w:val="003A6117"/>
    <w:rsid w:val="003A6267"/>
    <w:rsid w:val="003A6A84"/>
    <w:rsid w:val="003B092F"/>
    <w:rsid w:val="003B324D"/>
    <w:rsid w:val="003B5ABF"/>
    <w:rsid w:val="003B5DBA"/>
    <w:rsid w:val="003B77E3"/>
    <w:rsid w:val="003B7812"/>
    <w:rsid w:val="003C134A"/>
    <w:rsid w:val="003C1982"/>
    <w:rsid w:val="003C1E86"/>
    <w:rsid w:val="003C45AE"/>
    <w:rsid w:val="003C4EF1"/>
    <w:rsid w:val="003C68D5"/>
    <w:rsid w:val="003C68ED"/>
    <w:rsid w:val="003C69D5"/>
    <w:rsid w:val="003C6C01"/>
    <w:rsid w:val="003C7317"/>
    <w:rsid w:val="003D180C"/>
    <w:rsid w:val="003D1AF5"/>
    <w:rsid w:val="003D4A65"/>
    <w:rsid w:val="003D4C57"/>
    <w:rsid w:val="003D50E9"/>
    <w:rsid w:val="003D5379"/>
    <w:rsid w:val="003D5A52"/>
    <w:rsid w:val="003D5A95"/>
    <w:rsid w:val="003D5F0C"/>
    <w:rsid w:val="003D632B"/>
    <w:rsid w:val="003D6CBE"/>
    <w:rsid w:val="003E2F1B"/>
    <w:rsid w:val="003E32ED"/>
    <w:rsid w:val="003E3712"/>
    <w:rsid w:val="003E7F7F"/>
    <w:rsid w:val="003F02E7"/>
    <w:rsid w:val="003F3932"/>
    <w:rsid w:val="003F3C37"/>
    <w:rsid w:val="003F44DF"/>
    <w:rsid w:val="003F46C6"/>
    <w:rsid w:val="003F53A9"/>
    <w:rsid w:val="003F659A"/>
    <w:rsid w:val="003F65F0"/>
    <w:rsid w:val="003F6C87"/>
    <w:rsid w:val="00400BA5"/>
    <w:rsid w:val="00400E44"/>
    <w:rsid w:val="004019A6"/>
    <w:rsid w:val="00401F1A"/>
    <w:rsid w:val="0040223B"/>
    <w:rsid w:val="004024B2"/>
    <w:rsid w:val="00402CAE"/>
    <w:rsid w:val="00402CD5"/>
    <w:rsid w:val="004032E7"/>
    <w:rsid w:val="004033D8"/>
    <w:rsid w:val="004035D4"/>
    <w:rsid w:val="00403749"/>
    <w:rsid w:val="004045E8"/>
    <w:rsid w:val="00404C6E"/>
    <w:rsid w:val="0040586E"/>
    <w:rsid w:val="0040605E"/>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135A"/>
    <w:rsid w:val="00451E54"/>
    <w:rsid w:val="00451E94"/>
    <w:rsid w:val="00452E4A"/>
    <w:rsid w:val="00453093"/>
    <w:rsid w:val="004545F6"/>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4E8"/>
    <w:rsid w:val="00485B2A"/>
    <w:rsid w:val="00486CEF"/>
    <w:rsid w:val="00486ECC"/>
    <w:rsid w:val="00486FFD"/>
    <w:rsid w:val="0049099F"/>
    <w:rsid w:val="00491840"/>
    <w:rsid w:val="004930A7"/>
    <w:rsid w:val="004944E7"/>
    <w:rsid w:val="004950D3"/>
    <w:rsid w:val="0049581A"/>
    <w:rsid w:val="00495C56"/>
    <w:rsid w:val="00496E5B"/>
    <w:rsid w:val="004A04B2"/>
    <w:rsid w:val="004A2DE0"/>
    <w:rsid w:val="004A35B8"/>
    <w:rsid w:val="004A35D1"/>
    <w:rsid w:val="004A6FDE"/>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1A0"/>
    <w:rsid w:val="004E0250"/>
    <w:rsid w:val="004E1EC0"/>
    <w:rsid w:val="004E2A7F"/>
    <w:rsid w:val="004E3182"/>
    <w:rsid w:val="004E32A2"/>
    <w:rsid w:val="004E36D4"/>
    <w:rsid w:val="004E4D49"/>
    <w:rsid w:val="004E4E8D"/>
    <w:rsid w:val="004E52C8"/>
    <w:rsid w:val="004E616F"/>
    <w:rsid w:val="004E7BD7"/>
    <w:rsid w:val="004F1A8E"/>
    <w:rsid w:val="004F39F1"/>
    <w:rsid w:val="004F719F"/>
    <w:rsid w:val="004F7BB9"/>
    <w:rsid w:val="004F7EF6"/>
    <w:rsid w:val="00502625"/>
    <w:rsid w:val="005028C8"/>
    <w:rsid w:val="00502BEB"/>
    <w:rsid w:val="00502E13"/>
    <w:rsid w:val="00502E84"/>
    <w:rsid w:val="00504936"/>
    <w:rsid w:val="005077F2"/>
    <w:rsid w:val="005101EF"/>
    <w:rsid w:val="00511575"/>
    <w:rsid w:val="005135E4"/>
    <w:rsid w:val="00514B86"/>
    <w:rsid w:val="00515745"/>
    <w:rsid w:val="005159BC"/>
    <w:rsid w:val="005165B1"/>
    <w:rsid w:val="00516CB6"/>
    <w:rsid w:val="005178B5"/>
    <w:rsid w:val="00521744"/>
    <w:rsid w:val="0052186F"/>
    <w:rsid w:val="005227CC"/>
    <w:rsid w:val="005242D6"/>
    <w:rsid w:val="00524AB2"/>
    <w:rsid w:val="00524AE0"/>
    <w:rsid w:val="00525E82"/>
    <w:rsid w:val="00526485"/>
    <w:rsid w:val="00526BB8"/>
    <w:rsid w:val="005270EF"/>
    <w:rsid w:val="00527AAF"/>
    <w:rsid w:val="00530873"/>
    <w:rsid w:val="005312C3"/>
    <w:rsid w:val="00534FB2"/>
    <w:rsid w:val="005350E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528"/>
    <w:rsid w:val="00572E87"/>
    <w:rsid w:val="005752F6"/>
    <w:rsid w:val="0057533E"/>
    <w:rsid w:val="00575901"/>
    <w:rsid w:val="00575EEC"/>
    <w:rsid w:val="00576FD3"/>
    <w:rsid w:val="0057761B"/>
    <w:rsid w:val="00581759"/>
    <w:rsid w:val="005838B6"/>
    <w:rsid w:val="00583E1E"/>
    <w:rsid w:val="005840B6"/>
    <w:rsid w:val="00585831"/>
    <w:rsid w:val="00586737"/>
    <w:rsid w:val="00590ED4"/>
    <w:rsid w:val="005917B5"/>
    <w:rsid w:val="00592CAC"/>
    <w:rsid w:val="00595EC4"/>
    <w:rsid w:val="005A0619"/>
    <w:rsid w:val="005A100B"/>
    <w:rsid w:val="005A2B3E"/>
    <w:rsid w:val="005A3158"/>
    <w:rsid w:val="005A39A0"/>
    <w:rsid w:val="005A4393"/>
    <w:rsid w:val="005A4B1C"/>
    <w:rsid w:val="005A59CF"/>
    <w:rsid w:val="005B1341"/>
    <w:rsid w:val="005B3555"/>
    <w:rsid w:val="005B363E"/>
    <w:rsid w:val="005B4E4B"/>
    <w:rsid w:val="005B5185"/>
    <w:rsid w:val="005B62AD"/>
    <w:rsid w:val="005B6DF1"/>
    <w:rsid w:val="005B7B59"/>
    <w:rsid w:val="005C03BD"/>
    <w:rsid w:val="005C0496"/>
    <w:rsid w:val="005C067D"/>
    <w:rsid w:val="005C09D8"/>
    <w:rsid w:val="005C47E6"/>
    <w:rsid w:val="005C5131"/>
    <w:rsid w:val="005C523B"/>
    <w:rsid w:val="005C5377"/>
    <w:rsid w:val="005C6EDA"/>
    <w:rsid w:val="005D0AF2"/>
    <w:rsid w:val="005D1483"/>
    <w:rsid w:val="005D1957"/>
    <w:rsid w:val="005D50EB"/>
    <w:rsid w:val="005D6F3F"/>
    <w:rsid w:val="005D7251"/>
    <w:rsid w:val="005E0DCC"/>
    <w:rsid w:val="005E2600"/>
    <w:rsid w:val="005E34D2"/>
    <w:rsid w:val="005E4553"/>
    <w:rsid w:val="005E48E9"/>
    <w:rsid w:val="005E4A1E"/>
    <w:rsid w:val="005E5068"/>
    <w:rsid w:val="005E6952"/>
    <w:rsid w:val="005E7617"/>
    <w:rsid w:val="005F04A1"/>
    <w:rsid w:val="005F0951"/>
    <w:rsid w:val="005F1CF6"/>
    <w:rsid w:val="005F3FCD"/>
    <w:rsid w:val="005F51A1"/>
    <w:rsid w:val="005F5B12"/>
    <w:rsid w:val="0060060D"/>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636F"/>
    <w:rsid w:val="006203BA"/>
    <w:rsid w:val="00621022"/>
    <w:rsid w:val="0062280E"/>
    <w:rsid w:val="00622E7C"/>
    <w:rsid w:val="00623B86"/>
    <w:rsid w:val="0062496F"/>
    <w:rsid w:val="0062517E"/>
    <w:rsid w:val="00626C4F"/>
    <w:rsid w:val="00627215"/>
    <w:rsid w:val="006272DE"/>
    <w:rsid w:val="006276D4"/>
    <w:rsid w:val="006278F0"/>
    <w:rsid w:val="006348BB"/>
    <w:rsid w:val="00635790"/>
    <w:rsid w:val="00636A15"/>
    <w:rsid w:val="00636AA9"/>
    <w:rsid w:val="006370CF"/>
    <w:rsid w:val="00637512"/>
    <w:rsid w:val="00637561"/>
    <w:rsid w:val="00641BA4"/>
    <w:rsid w:val="00642A09"/>
    <w:rsid w:val="00644703"/>
    <w:rsid w:val="0064546A"/>
    <w:rsid w:val="00645600"/>
    <w:rsid w:val="006459BF"/>
    <w:rsid w:val="00645D63"/>
    <w:rsid w:val="00645FA0"/>
    <w:rsid w:val="0064763F"/>
    <w:rsid w:val="006477EB"/>
    <w:rsid w:val="00647964"/>
    <w:rsid w:val="00647C6C"/>
    <w:rsid w:val="006500FE"/>
    <w:rsid w:val="00650CCB"/>
    <w:rsid w:val="00651A00"/>
    <w:rsid w:val="0065234E"/>
    <w:rsid w:val="00653E1E"/>
    <w:rsid w:val="00654BA5"/>
    <w:rsid w:val="00654E95"/>
    <w:rsid w:val="00660CD8"/>
    <w:rsid w:val="0066120F"/>
    <w:rsid w:val="00661305"/>
    <w:rsid w:val="0066244C"/>
    <w:rsid w:val="006630CD"/>
    <w:rsid w:val="006636DF"/>
    <w:rsid w:val="00664393"/>
    <w:rsid w:val="006647C7"/>
    <w:rsid w:val="00664F44"/>
    <w:rsid w:val="00666249"/>
    <w:rsid w:val="00670BC2"/>
    <w:rsid w:val="00671FED"/>
    <w:rsid w:val="006721C6"/>
    <w:rsid w:val="006739D3"/>
    <w:rsid w:val="00673D51"/>
    <w:rsid w:val="00674C54"/>
    <w:rsid w:val="00675CE8"/>
    <w:rsid w:val="0067798C"/>
    <w:rsid w:val="00681294"/>
    <w:rsid w:val="00681C33"/>
    <w:rsid w:val="00682129"/>
    <w:rsid w:val="006829AC"/>
    <w:rsid w:val="006837C5"/>
    <w:rsid w:val="00683842"/>
    <w:rsid w:val="00685457"/>
    <w:rsid w:val="0068766A"/>
    <w:rsid w:val="00687BF6"/>
    <w:rsid w:val="00690F5C"/>
    <w:rsid w:val="0069132E"/>
    <w:rsid w:val="00691939"/>
    <w:rsid w:val="00691986"/>
    <w:rsid w:val="00694347"/>
    <w:rsid w:val="00694DBF"/>
    <w:rsid w:val="00694E73"/>
    <w:rsid w:val="006953CB"/>
    <w:rsid w:val="006964E8"/>
    <w:rsid w:val="00696588"/>
    <w:rsid w:val="0069685E"/>
    <w:rsid w:val="006A00CA"/>
    <w:rsid w:val="006A0377"/>
    <w:rsid w:val="006A277D"/>
    <w:rsid w:val="006A3352"/>
    <w:rsid w:val="006A404C"/>
    <w:rsid w:val="006A5749"/>
    <w:rsid w:val="006A5ADE"/>
    <w:rsid w:val="006A5C65"/>
    <w:rsid w:val="006B001D"/>
    <w:rsid w:val="006B0ACD"/>
    <w:rsid w:val="006B304C"/>
    <w:rsid w:val="006B3529"/>
    <w:rsid w:val="006B3B23"/>
    <w:rsid w:val="006B3B9F"/>
    <w:rsid w:val="006B713C"/>
    <w:rsid w:val="006C04CF"/>
    <w:rsid w:val="006C0FD6"/>
    <w:rsid w:val="006C3AD9"/>
    <w:rsid w:val="006C5A9F"/>
    <w:rsid w:val="006C6EE6"/>
    <w:rsid w:val="006C70DC"/>
    <w:rsid w:val="006D074C"/>
    <w:rsid w:val="006D12CB"/>
    <w:rsid w:val="006D16C6"/>
    <w:rsid w:val="006D1CD0"/>
    <w:rsid w:val="006D2EC2"/>
    <w:rsid w:val="006D4327"/>
    <w:rsid w:val="006D47A5"/>
    <w:rsid w:val="006D56BF"/>
    <w:rsid w:val="006D648F"/>
    <w:rsid w:val="006D685B"/>
    <w:rsid w:val="006D70F1"/>
    <w:rsid w:val="006D7439"/>
    <w:rsid w:val="006D78C3"/>
    <w:rsid w:val="006E0F84"/>
    <w:rsid w:val="006E1744"/>
    <w:rsid w:val="006E1F2B"/>
    <w:rsid w:val="006E2407"/>
    <w:rsid w:val="006E3440"/>
    <w:rsid w:val="006E5431"/>
    <w:rsid w:val="006E67FF"/>
    <w:rsid w:val="006E7ACB"/>
    <w:rsid w:val="006F2327"/>
    <w:rsid w:val="006F2986"/>
    <w:rsid w:val="006F3899"/>
    <w:rsid w:val="006F410B"/>
    <w:rsid w:val="006F55D4"/>
    <w:rsid w:val="006F5A3F"/>
    <w:rsid w:val="006F5BF5"/>
    <w:rsid w:val="006F6622"/>
    <w:rsid w:val="006F6A62"/>
    <w:rsid w:val="007012DB"/>
    <w:rsid w:val="00702F5B"/>
    <w:rsid w:val="00704A40"/>
    <w:rsid w:val="00704B46"/>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603"/>
    <w:rsid w:val="00736EC7"/>
    <w:rsid w:val="00737EDD"/>
    <w:rsid w:val="00740A0D"/>
    <w:rsid w:val="00741919"/>
    <w:rsid w:val="00741C9F"/>
    <w:rsid w:val="007434E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9C6"/>
    <w:rsid w:val="00760D35"/>
    <w:rsid w:val="00760D8A"/>
    <w:rsid w:val="00761AA1"/>
    <w:rsid w:val="007629FE"/>
    <w:rsid w:val="00763B26"/>
    <w:rsid w:val="00765F82"/>
    <w:rsid w:val="0076652E"/>
    <w:rsid w:val="00766A94"/>
    <w:rsid w:val="00767245"/>
    <w:rsid w:val="007735A1"/>
    <w:rsid w:val="00773EA0"/>
    <w:rsid w:val="00774250"/>
    <w:rsid w:val="00774318"/>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28D"/>
    <w:rsid w:val="00790844"/>
    <w:rsid w:val="00790D91"/>
    <w:rsid w:val="00791213"/>
    <w:rsid w:val="00791E08"/>
    <w:rsid w:val="007925AD"/>
    <w:rsid w:val="00792FBA"/>
    <w:rsid w:val="00793483"/>
    <w:rsid w:val="00793C43"/>
    <w:rsid w:val="0079648F"/>
    <w:rsid w:val="00796AAB"/>
    <w:rsid w:val="007974C5"/>
    <w:rsid w:val="007A1114"/>
    <w:rsid w:val="007A21E7"/>
    <w:rsid w:val="007A3DCE"/>
    <w:rsid w:val="007A4800"/>
    <w:rsid w:val="007A53C0"/>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19C8"/>
    <w:rsid w:val="007F3193"/>
    <w:rsid w:val="007F35D2"/>
    <w:rsid w:val="007F4487"/>
    <w:rsid w:val="007F509D"/>
    <w:rsid w:val="007F541F"/>
    <w:rsid w:val="007F5708"/>
    <w:rsid w:val="007F6061"/>
    <w:rsid w:val="007F622C"/>
    <w:rsid w:val="007F6CCD"/>
    <w:rsid w:val="007F6E25"/>
    <w:rsid w:val="007F7AF7"/>
    <w:rsid w:val="00800194"/>
    <w:rsid w:val="00800501"/>
    <w:rsid w:val="00800F63"/>
    <w:rsid w:val="0080106D"/>
    <w:rsid w:val="00801DA4"/>
    <w:rsid w:val="00802AB9"/>
    <w:rsid w:val="00804ACE"/>
    <w:rsid w:val="00806BE6"/>
    <w:rsid w:val="008077F5"/>
    <w:rsid w:val="00807BA8"/>
    <w:rsid w:val="008141E0"/>
    <w:rsid w:val="00816946"/>
    <w:rsid w:val="00816CDA"/>
    <w:rsid w:val="0082028E"/>
    <w:rsid w:val="00820950"/>
    <w:rsid w:val="00821622"/>
    <w:rsid w:val="0082211D"/>
    <w:rsid w:val="008233D8"/>
    <w:rsid w:val="00823771"/>
    <w:rsid w:val="0082381E"/>
    <w:rsid w:val="0082390E"/>
    <w:rsid w:val="00825C47"/>
    <w:rsid w:val="00827016"/>
    <w:rsid w:val="00827CA2"/>
    <w:rsid w:val="00827CDB"/>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1B6C"/>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2B21"/>
    <w:rsid w:val="008750EE"/>
    <w:rsid w:val="0087570F"/>
    <w:rsid w:val="00876FBD"/>
    <w:rsid w:val="00877A39"/>
    <w:rsid w:val="00881637"/>
    <w:rsid w:val="008822F3"/>
    <w:rsid w:val="00882440"/>
    <w:rsid w:val="00882AA2"/>
    <w:rsid w:val="00883661"/>
    <w:rsid w:val="00884821"/>
    <w:rsid w:val="00885607"/>
    <w:rsid w:val="008858C6"/>
    <w:rsid w:val="00887ED2"/>
    <w:rsid w:val="0089035F"/>
    <w:rsid w:val="0089248D"/>
    <w:rsid w:val="00893E72"/>
    <w:rsid w:val="00894F12"/>
    <w:rsid w:val="00894F93"/>
    <w:rsid w:val="00894FBC"/>
    <w:rsid w:val="008950E0"/>
    <w:rsid w:val="008964CE"/>
    <w:rsid w:val="00896A1B"/>
    <w:rsid w:val="00896EE7"/>
    <w:rsid w:val="00897783"/>
    <w:rsid w:val="008A109E"/>
    <w:rsid w:val="008A1230"/>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6F52"/>
    <w:rsid w:val="008B73D1"/>
    <w:rsid w:val="008B7667"/>
    <w:rsid w:val="008C3B50"/>
    <w:rsid w:val="008C3D4D"/>
    <w:rsid w:val="008C6E7D"/>
    <w:rsid w:val="008C7100"/>
    <w:rsid w:val="008D1CCF"/>
    <w:rsid w:val="008D3D48"/>
    <w:rsid w:val="008D4CE4"/>
    <w:rsid w:val="008D5DE7"/>
    <w:rsid w:val="008E008C"/>
    <w:rsid w:val="008E14F0"/>
    <w:rsid w:val="008E1F9E"/>
    <w:rsid w:val="008E27CB"/>
    <w:rsid w:val="008E325A"/>
    <w:rsid w:val="008E6DC5"/>
    <w:rsid w:val="008F0835"/>
    <w:rsid w:val="008F33CE"/>
    <w:rsid w:val="008F4295"/>
    <w:rsid w:val="008F567C"/>
    <w:rsid w:val="008F6F53"/>
    <w:rsid w:val="008F732E"/>
    <w:rsid w:val="009007EE"/>
    <w:rsid w:val="0090142E"/>
    <w:rsid w:val="00903261"/>
    <w:rsid w:val="0090634E"/>
    <w:rsid w:val="00906BF3"/>
    <w:rsid w:val="00912FD6"/>
    <w:rsid w:val="00914AF6"/>
    <w:rsid w:val="0091633D"/>
    <w:rsid w:val="00920CCA"/>
    <w:rsid w:val="00922F52"/>
    <w:rsid w:val="00923AF5"/>
    <w:rsid w:val="00923B45"/>
    <w:rsid w:val="00924CC8"/>
    <w:rsid w:val="00926934"/>
    <w:rsid w:val="00927175"/>
    <w:rsid w:val="00927F1E"/>
    <w:rsid w:val="00930736"/>
    <w:rsid w:val="009327FF"/>
    <w:rsid w:val="00934B6F"/>
    <w:rsid w:val="00934D51"/>
    <w:rsid w:val="00934FBC"/>
    <w:rsid w:val="009368F7"/>
    <w:rsid w:val="00937E72"/>
    <w:rsid w:val="00937F83"/>
    <w:rsid w:val="00940A42"/>
    <w:rsid w:val="00940C85"/>
    <w:rsid w:val="00941C1A"/>
    <w:rsid w:val="009425BC"/>
    <w:rsid w:val="00944668"/>
    <w:rsid w:val="009449AE"/>
    <w:rsid w:val="00945099"/>
    <w:rsid w:val="009466D3"/>
    <w:rsid w:val="00947DF4"/>
    <w:rsid w:val="0095141C"/>
    <w:rsid w:val="00951C84"/>
    <w:rsid w:val="00951D48"/>
    <w:rsid w:val="00953329"/>
    <w:rsid w:val="009539D7"/>
    <w:rsid w:val="00955CE0"/>
    <w:rsid w:val="00957E14"/>
    <w:rsid w:val="00960605"/>
    <w:rsid w:val="009615BE"/>
    <w:rsid w:val="00962E33"/>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A7D26"/>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191B"/>
    <w:rsid w:val="009D3667"/>
    <w:rsid w:val="009D45A5"/>
    <w:rsid w:val="009D58C8"/>
    <w:rsid w:val="009D6E4E"/>
    <w:rsid w:val="009D6FEE"/>
    <w:rsid w:val="009D70A6"/>
    <w:rsid w:val="009D72CA"/>
    <w:rsid w:val="009E0F60"/>
    <w:rsid w:val="009E207B"/>
    <w:rsid w:val="009E2C70"/>
    <w:rsid w:val="009E2FE1"/>
    <w:rsid w:val="009E49D4"/>
    <w:rsid w:val="009E7C84"/>
    <w:rsid w:val="009F079A"/>
    <w:rsid w:val="009F08ED"/>
    <w:rsid w:val="009F139E"/>
    <w:rsid w:val="009F2860"/>
    <w:rsid w:val="009F3D26"/>
    <w:rsid w:val="009F4EB2"/>
    <w:rsid w:val="009F6392"/>
    <w:rsid w:val="009F6AF0"/>
    <w:rsid w:val="009F75AD"/>
    <w:rsid w:val="009F7AC4"/>
    <w:rsid w:val="00A00241"/>
    <w:rsid w:val="00A0170D"/>
    <w:rsid w:val="00A01719"/>
    <w:rsid w:val="00A02344"/>
    <w:rsid w:val="00A04928"/>
    <w:rsid w:val="00A052DF"/>
    <w:rsid w:val="00A07497"/>
    <w:rsid w:val="00A11BED"/>
    <w:rsid w:val="00A12A1C"/>
    <w:rsid w:val="00A12DCD"/>
    <w:rsid w:val="00A1486A"/>
    <w:rsid w:val="00A14D23"/>
    <w:rsid w:val="00A15314"/>
    <w:rsid w:val="00A161AF"/>
    <w:rsid w:val="00A17F02"/>
    <w:rsid w:val="00A23205"/>
    <w:rsid w:val="00A274F1"/>
    <w:rsid w:val="00A31DA1"/>
    <w:rsid w:val="00A32905"/>
    <w:rsid w:val="00A34799"/>
    <w:rsid w:val="00A370F8"/>
    <w:rsid w:val="00A402F2"/>
    <w:rsid w:val="00A4266E"/>
    <w:rsid w:val="00A43397"/>
    <w:rsid w:val="00A441A0"/>
    <w:rsid w:val="00A443DF"/>
    <w:rsid w:val="00A44441"/>
    <w:rsid w:val="00A44A76"/>
    <w:rsid w:val="00A46BBC"/>
    <w:rsid w:val="00A53609"/>
    <w:rsid w:val="00A53923"/>
    <w:rsid w:val="00A556C8"/>
    <w:rsid w:val="00A5680F"/>
    <w:rsid w:val="00A57F8C"/>
    <w:rsid w:val="00A57FCB"/>
    <w:rsid w:val="00A61776"/>
    <w:rsid w:val="00A618EC"/>
    <w:rsid w:val="00A6252C"/>
    <w:rsid w:val="00A62551"/>
    <w:rsid w:val="00A63863"/>
    <w:rsid w:val="00A649C7"/>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7A"/>
    <w:rsid w:val="00A81764"/>
    <w:rsid w:val="00A821AF"/>
    <w:rsid w:val="00A822C9"/>
    <w:rsid w:val="00A82DA1"/>
    <w:rsid w:val="00A8349F"/>
    <w:rsid w:val="00A83A71"/>
    <w:rsid w:val="00A83C7B"/>
    <w:rsid w:val="00A8764D"/>
    <w:rsid w:val="00A8791C"/>
    <w:rsid w:val="00A87F8B"/>
    <w:rsid w:val="00A9020C"/>
    <w:rsid w:val="00A9120F"/>
    <w:rsid w:val="00A91E15"/>
    <w:rsid w:val="00A93181"/>
    <w:rsid w:val="00A93893"/>
    <w:rsid w:val="00A9451D"/>
    <w:rsid w:val="00A95BE5"/>
    <w:rsid w:val="00A96518"/>
    <w:rsid w:val="00A977FE"/>
    <w:rsid w:val="00AA0446"/>
    <w:rsid w:val="00AA15DA"/>
    <w:rsid w:val="00AA28F4"/>
    <w:rsid w:val="00AA3B4D"/>
    <w:rsid w:val="00AA3E5F"/>
    <w:rsid w:val="00AA46A4"/>
    <w:rsid w:val="00AA5D10"/>
    <w:rsid w:val="00AA5F01"/>
    <w:rsid w:val="00AA605C"/>
    <w:rsid w:val="00AA6F1F"/>
    <w:rsid w:val="00AA73B5"/>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3E2"/>
    <w:rsid w:val="00AD6719"/>
    <w:rsid w:val="00AD7710"/>
    <w:rsid w:val="00AE0258"/>
    <w:rsid w:val="00AE0938"/>
    <w:rsid w:val="00AE18F0"/>
    <w:rsid w:val="00AE2188"/>
    <w:rsid w:val="00AE3789"/>
    <w:rsid w:val="00AE3DD7"/>
    <w:rsid w:val="00AE4B9E"/>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3034"/>
    <w:rsid w:val="00B131EA"/>
    <w:rsid w:val="00B139C4"/>
    <w:rsid w:val="00B160A9"/>
    <w:rsid w:val="00B160B6"/>
    <w:rsid w:val="00B167C0"/>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8AF"/>
    <w:rsid w:val="00B56F6E"/>
    <w:rsid w:val="00B57F02"/>
    <w:rsid w:val="00B6047F"/>
    <w:rsid w:val="00B60A20"/>
    <w:rsid w:val="00B6367E"/>
    <w:rsid w:val="00B63E5D"/>
    <w:rsid w:val="00B65FD0"/>
    <w:rsid w:val="00B668CA"/>
    <w:rsid w:val="00B677CB"/>
    <w:rsid w:val="00B703DA"/>
    <w:rsid w:val="00B711B2"/>
    <w:rsid w:val="00B71234"/>
    <w:rsid w:val="00B7145B"/>
    <w:rsid w:val="00B71698"/>
    <w:rsid w:val="00B729C4"/>
    <w:rsid w:val="00B7411F"/>
    <w:rsid w:val="00B756B4"/>
    <w:rsid w:val="00B75A86"/>
    <w:rsid w:val="00B762CC"/>
    <w:rsid w:val="00B764B6"/>
    <w:rsid w:val="00B764D0"/>
    <w:rsid w:val="00B77A12"/>
    <w:rsid w:val="00B77EAF"/>
    <w:rsid w:val="00B8008B"/>
    <w:rsid w:val="00B807B7"/>
    <w:rsid w:val="00B811BC"/>
    <w:rsid w:val="00B8126D"/>
    <w:rsid w:val="00B812A6"/>
    <w:rsid w:val="00B82F3B"/>
    <w:rsid w:val="00B83D35"/>
    <w:rsid w:val="00B8410C"/>
    <w:rsid w:val="00B846D6"/>
    <w:rsid w:val="00B8593A"/>
    <w:rsid w:val="00B85F0C"/>
    <w:rsid w:val="00B927F8"/>
    <w:rsid w:val="00B934F4"/>
    <w:rsid w:val="00B940F2"/>
    <w:rsid w:val="00B94243"/>
    <w:rsid w:val="00B94423"/>
    <w:rsid w:val="00B94801"/>
    <w:rsid w:val="00B94870"/>
    <w:rsid w:val="00B9563C"/>
    <w:rsid w:val="00B95696"/>
    <w:rsid w:val="00B96D3E"/>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6D9B"/>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5143"/>
    <w:rsid w:val="00BE679E"/>
    <w:rsid w:val="00BE69D8"/>
    <w:rsid w:val="00BE6E38"/>
    <w:rsid w:val="00BF096B"/>
    <w:rsid w:val="00BF13FA"/>
    <w:rsid w:val="00BF2D67"/>
    <w:rsid w:val="00BF31F7"/>
    <w:rsid w:val="00BF47F5"/>
    <w:rsid w:val="00BF4F1B"/>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1918"/>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4984"/>
    <w:rsid w:val="00C56377"/>
    <w:rsid w:val="00C5694A"/>
    <w:rsid w:val="00C56B91"/>
    <w:rsid w:val="00C57ED4"/>
    <w:rsid w:val="00C60931"/>
    <w:rsid w:val="00C60AFF"/>
    <w:rsid w:val="00C60D6C"/>
    <w:rsid w:val="00C6311A"/>
    <w:rsid w:val="00C6317B"/>
    <w:rsid w:val="00C63696"/>
    <w:rsid w:val="00C6421E"/>
    <w:rsid w:val="00C6579F"/>
    <w:rsid w:val="00C65BA3"/>
    <w:rsid w:val="00C66413"/>
    <w:rsid w:val="00C66E4D"/>
    <w:rsid w:val="00C70E64"/>
    <w:rsid w:val="00C73A80"/>
    <w:rsid w:val="00C74A6E"/>
    <w:rsid w:val="00C74A9A"/>
    <w:rsid w:val="00C74B69"/>
    <w:rsid w:val="00C7535B"/>
    <w:rsid w:val="00C758D8"/>
    <w:rsid w:val="00C76AD3"/>
    <w:rsid w:val="00C7770A"/>
    <w:rsid w:val="00C77DBA"/>
    <w:rsid w:val="00C80148"/>
    <w:rsid w:val="00C80463"/>
    <w:rsid w:val="00C81057"/>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741B"/>
    <w:rsid w:val="00C97C6D"/>
    <w:rsid w:val="00CA2290"/>
    <w:rsid w:val="00CA3779"/>
    <w:rsid w:val="00CA3909"/>
    <w:rsid w:val="00CA4939"/>
    <w:rsid w:val="00CA63CF"/>
    <w:rsid w:val="00CA6B3F"/>
    <w:rsid w:val="00CA7588"/>
    <w:rsid w:val="00CA7D58"/>
    <w:rsid w:val="00CB1507"/>
    <w:rsid w:val="00CB1A53"/>
    <w:rsid w:val="00CB2F7E"/>
    <w:rsid w:val="00CB4F91"/>
    <w:rsid w:val="00CB5130"/>
    <w:rsid w:val="00CB5624"/>
    <w:rsid w:val="00CB59A7"/>
    <w:rsid w:val="00CB60DE"/>
    <w:rsid w:val="00CB7D64"/>
    <w:rsid w:val="00CB7E7E"/>
    <w:rsid w:val="00CC01FA"/>
    <w:rsid w:val="00CC03B5"/>
    <w:rsid w:val="00CC12C3"/>
    <w:rsid w:val="00CC1677"/>
    <w:rsid w:val="00CC3648"/>
    <w:rsid w:val="00CC3959"/>
    <w:rsid w:val="00CC6651"/>
    <w:rsid w:val="00CC7E16"/>
    <w:rsid w:val="00CD0EDB"/>
    <w:rsid w:val="00CD1A23"/>
    <w:rsid w:val="00CD2E8D"/>
    <w:rsid w:val="00CD305F"/>
    <w:rsid w:val="00CD3B9D"/>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CDC"/>
    <w:rsid w:val="00CF2D2A"/>
    <w:rsid w:val="00CF3429"/>
    <w:rsid w:val="00CF4978"/>
    <w:rsid w:val="00CF4A38"/>
    <w:rsid w:val="00CF6228"/>
    <w:rsid w:val="00CF6391"/>
    <w:rsid w:val="00CF72D2"/>
    <w:rsid w:val="00D007FB"/>
    <w:rsid w:val="00D020C3"/>
    <w:rsid w:val="00D024E6"/>
    <w:rsid w:val="00D037CA"/>
    <w:rsid w:val="00D06198"/>
    <w:rsid w:val="00D073F5"/>
    <w:rsid w:val="00D1338A"/>
    <w:rsid w:val="00D157D1"/>
    <w:rsid w:val="00D1622A"/>
    <w:rsid w:val="00D16295"/>
    <w:rsid w:val="00D1755D"/>
    <w:rsid w:val="00D17B15"/>
    <w:rsid w:val="00D17F4A"/>
    <w:rsid w:val="00D205DB"/>
    <w:rsid w:val="00D21339"/>
    <w:rsid w:val="00D2186B"/>
    <w:rsid w:val="00D21F35"/>
    <w:rsid w:val="00D231E7"/>
    <w:rsid w:val="00D2402D"/>
    <w:rsid w:val="00D26592"/>
    <w:rsid w:val="00D267EA"/>
    <w:rsid w:val="00D26A5A"/>
    <w:rsid w:val="00D30C0B"/>
    <w:rsid w:val="00D31686"/>
    <w:rsid w:val="00D3218F"/>
    <w:rsid w:val="00D321EF"/>
    <w:rsid w:val="00D33866"/>
    <w:rsid w:val="00D36380"/>
    <w:rsid w:val="00D37428"/>
    <w:rsid w:val="00D406D2"/>
    <w:rsid w:val="00D416B3"/>
    <w:rsid w:val="00D420CE"/>
    <w:rsid w:val="00D43A16"/>
    <w:rsid w:val="00D453A7"/>
    <w:rsid w:val="00D474F1"/>
    <w:rsid w:val="00D505A7"/>
    <w:rsid w:val="00D51C0F"/>
    <w:rsid w:val="00D53174"/>
    <w:rsid w:val="00D54C45"/>
    <w:rsid w:val="00D54D4B"/>
    <w:rsid w:val="00D551FD"/>
    <w:rsid w:val="00D57170"/>
    <w:rsid w:val="00D57758"/>
    <w:rsid w:val="00D57B09"/>
    <w:rsid w:val="00D57E16"/>
    <w:rsid w:val="00D603E1"/>
    <w:rsid w:val="00D608BC"/>
    <w:rsid w:val="00D60D96"/>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44E3"/>
    <w:rsid w:val="00D959A2"/>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D27"/>
    <w:rsid w:val="00DB3E4C"/>
    <w:rsid w:val="00DB6192"/>
    <w:rsid w:val="00DB61AF"/>
    <w:rsid w:val="00DB6665"/>
    <w:rsid w:val="00DB6FF7"/>
    <w:rsid w:val="00DB6FFA"/>
    <w:rsid w:val="00DB75CA"/>
    <w:rsid w:val="00DB7E52"/>
    <w:rsid w:val="00DB7ED1"/>
    <w:rsid w:val="00DC0668"/>
    <w:rsid w:val="00DC18E5"/>
    <w:rsid w:val="00DC247A"/>
    <w:rsid w:val="00DC24DF"/>
    <w:rsid w:val="00DC2CBA"/>
    <w:rsid w:val="00DC2FDA"/>
    <w:rsid w:val="00DC3C2F"/>
    <w:rsid w:val="00DC483B"/>
    <w:rsid w:val="00DC6C94"/>
    <w:rsid w:val="00DC6D7E"/>
    <w:rsid w:val="00DC7106"/>
    <w:rsid w:val="00DD09BC"/>
    <w:rsid w:val="00DD1425"/>
    <w:rsid w:val="00DD1C03"/>
    <w:rsid w:val="00DD269D"/>
    <w:rsid w:val="00DD28A5"/>
    <w:rsid w:val="00DD2F24"/>
    <w:rsid w:val="00DD42A1"/>
    <w:rsid w:val="00DD4D54"/>
    <w:rsid w:val="00DD53D6"/>
    <w:rsid w:val="00DD59F3"/>
    <w:rsid w:val="00DD5A38"/>
    <w:rsid w:val="00DD6301"/>
    <w:rsid w:val="00DD6D51"/>
    <w:rsid w:val="00DD79D4"/>
    <w:rsid w:val="00DE045A"/>
    <w:rsid w:val="00DE1D91"/>
    <w:rsid w:val="00DE1FEB"/>
    <w:rsid w:val="00DE30E4"/>
    <w:rsid w:val="00DE499A"/>
    <w:rsid w:val="00DE4FD3"/>
    <w:rsid w:val="00DE52D1"/>
    <w:rsid w:val="00DE6C5C"/>
    <w:rsid w:val="00DE74B0"/>
    <w:rsid w:val="00DF007C"/>
    <w:rsid w:val="00DF34D0"/>
    <w:rsid w:val="00DF3891"/>
    <w:rsid w:val="00DF3E91"/>
    <w:rsid w:val="00DF5490"/>
    <w:rsid w:val="00DF7ED1"/>
    <w:rsid w:val="00E01245"/>
    <w:rsid w:val="00E01540"/>
    <w:rsid w:val="00E0269C"/>
    <w:rsid w:val="00E04DEC"/>
    <w:rsid w:val="00E07C34"/>
    <w:rsid w:val="00E07DAA"/>
    <w:rsid w:val="00E10083"/>
    <w:rsid w:val="00E102A1"/>
    <w:rsid w:val="00E1150E"/>
    <w:rsid w:val="00E126C1"/>
    <w:rsid w:val="00E135D2"/>
    <w:rsid w:val="00E142B4"/>
    <w:rsid w:val="00E14692"/>
    <w:rsid w:val="00E15C9C"/>
    <w:rsid w:val="00E17E20"/>
    <w:rsid w:val="00E2101B"/>
    <w:rsid w:val="00E2159A"/>
    <w:rsid w:val="00E21E72"/>
    <w:rsid w:val="00E228F0"/>
    <w:rsid w:val="00E23B01"/>
    <w:rsid w:val="00E23DDA"/>
    <w:rsid w:val="00E24C96"/>
    <w:rsid w:val="00E25182"/>
    <w:rsid w:val="00E25D43"/>
    <w:rsid w:val="00E26310"/>
    <w:rsid w:val="00E266A4"/>
    <w:rsid w:val="00E2690A"/>
    <w:rsid w:val="00E27744"/>
    <w:rsid w:val="00E32BC9"/>
    <w:rsid w:val="00E32BE5"/>
    <w:rsid w:val="00E3373E"/>
    <w:rsid w:val="00E3386C"/>
    <w:rsid w:val="00E33DF3"/>
    <w:rsid w:val="00E3448A"/>
    <w:rsid w:val="00E34FE7"/>
    <w:rsid w:val="00E4043D"/>
    <w:rsid w:val="00E41488"/>
    <w:rsid w:val="00E425E6"/>
    <w:rsid w:val="00E42657"/>
    <w:rsid w:val="00E426B4"/>
    <w:rsid w:val="00E44AC4"/>
    <w:rsid w:val="00E47486"/>
    <w:rsid w:val="00E50CBC"/>
    <w:rsid w:val="00E5170A"/>
    <w:rsid w:val="00E51CC4"/>
    <w:rsid w:val="00E5484B"/>
    <w:rsid w:val="00E569E2"/>
    <w:rsid w:val="00E60583"/>
    <w:rsid w:val="00E60A69"/>
    <w:rsid w:val="00E63977"/>
    <w:rsid w:val="00E64669"/>
    <w:rsid w:val="00E64715"/>
    <w:rsid w:val="00E653F8"/>
    <w:rsid w:val="00E716E8"/>
    <w:rsid w:val="00E71F9D"/>
    <w:rsid w:val="00E7217F"/>
    <w:rsid w:val="00E736D4"/>
    <w:rsid w:val="00E7478A"/>
    <w:rsid w:val="00E775D0"/>
    <w:rsid w:val="00E81A22"/>
    <w:rsid w:val="00E81B2E"/>
    <w:rsid w:val="00E82984"/>
    <w:rsid w:val="00E82C7F"/>
    <w:rsid w:val="00E84D8B"/>
    <w:rsid w:val="00E85A4A"/>
    <w:rsid w:val="00E85EC6"/>
    <w:rsid w:val="00E904A3"/>
    <w:rsid w:val="00E909E4"/>
    <w:rsid w:val="00E90EBB"/>
    <w:rsid w:val="00E91986"/>
    <w:rsid w:val="00E91DA4"/>
    <w:rsid w:val="00E93BCB"/>
    <w:rsid w:val="00E95371"/>
    <w:rsid w:val="00E95A4C"/>
    <w:rsid w:val="00EA0073"/>
    <w:rsid w:val="00EA0DBF"/>
    <w:rsid w:val="00EA0F2A"/>
    <w:rsid w:val="00EA1647"/>
    <w:rsid w:val="00EA29D4"/>
    <w:rsid w:val="00EA3263"/>
    <w:rsid w:val="00EA4293"/>
    <w:rsid w:val="00EA6D1D"/>
    <w:rsid w:val="00EA76D8"/>
    <w:rsid w:val="00EB0661"/>
    <w:rsid w:val="00EB0988"/>
    <w:rsid w:val="00EB0C8C"/>
    <w:rsid w:val="00EB3D48"/>
    <w:rsid w:val="00EB430D"/>
    <w:rsid w:val="00EB44E1"/>
    <w:rsid w:val="00EB4DE9"/>
    <w:rsid w:val="00EC316D"/>
    <w:rsid w:val="00EC3777"/>
    <w:rsid w:val="00EC39B8"/>
    <w:rsid w:val="00EC3E24"/>
    <w:rsid w:val="00EC4683"/>
    <w:rsid w:val="00EC48AA"/>
    <w:rsid w:val="00EC502C"/>
    <w:rsid w:val="00EC50DC"/>
    <w:rsid w:val="00EC6E55"/>
    <w:rsid w:val="00ED2368"/>
    <w:rsid w:val="00ED4C62"/>
    <w:rsid w:val="00ED557E"/>
    <w:rsid w:val="00ED64D4"/>
    <w:rsid w:val="00ED66D1"/>
    <w:rsid w:val="00ED71BB"/>
    <w:rsid w:val="00ED7509"/>
    <w:rsid w:val="00EE11FF"/>
    <w:rsid w:val="00EE1FB5"/>
    <w:rsid w:val="00EE26F5"/>
    <w:rsid w:val="00EE2EBA"/>
    <w:rsid w:val="00EE2F45"/>
    <w:rsid w:val="00EE3287"/>
    <w:rsid w:val="00EE3585"/>
    <w:rsid w:val="00EE495C"/>
    <w:rsid w:val="00EE4A2C"/>
    <w:rsid w:val="00EE60EF"/>
    <w:rsid w:val="00EE6F0E"/>
    <w:rsid w:val="00EE72E1"/>
    <w:rsid w:val="00EF07A1"/>
    <w:rsid w:val="00EF146D"/>
    <w:rsid w:val="00EF2D62"/>
    <w:rsid w:val="00EF33B2"/>
    <w:rsid w:val="00EF374E"/>
    <w:rsid w:val="00EF4CCF"/>
    <w:rsid w:val="00EF50F2"/>
    <w:rsid w:val="00EF5370"/>
    <w:rsid w:val="00EF5D3F"/>
    <w:rsid w:val="00EF5F1A"/>
    <w:rsid w:val="00EF62CC"/>
    <w:rsid w:val="00EF6ECD"/>
    <w:rsid w:val="00EF7C86"/>
    <w:rsid w:val="00F01126"/>
    <w:rsid w:val="00F06E9C"/>
    <w:rsid w:val="00F07A55"/>
    <w:rsid w:val="00F07A9E"/>
    <w:rsid w:val="00F11126"/>
    <w:rsid w:val="00F11ECB"/>
    <w:rsid w:val="00F128FB"/>
    <w:rsid w:val="00F142BA"/>
    <w:rsid w:val="00F15174"/>
    <w:rsid w:val="00F16A91"/>
    <w:rsid w:val="00F17C7C"/>
    <w:rsid w:val="00F202F9"/>
    <w:rsid w:val="00F215D5"/>
    <w:rsid w:val="00F2585F"/>
    <w:rsid w:val="00F262E2"/>
    <w:rsid w:val="00F2681A"/>
    <w:rsid w:val="00F30DCA"/>
    <w:rsid w:val="00F32E1B"/>
    <w:rsid w:val="00F33C5F"/>
    <w:rsid w:val="00F344C8"/>
    <w:rsid w:val="00F34CAA"/>
    <w:rsid w:val="00F34F2A"/>
    <w:rsid w:val="00F356A1"/>
    <w:rsid w:val="00F3601A"/>
    <w:rsid w:val="00F376C5"/>
    <w:rsid w:val="00F37E51"/>
    <w:rsid w:val="00F4073C"/>
    <w:rsid w:val="00F412F7"/>
    <w:rsid w:val="00F41ED1"/>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62E"/>
    <w:rsid w:val="00F60B6C"/>
    <w:rsid w:val="00F615B1"/>
    <w:rsid w:val="00F62344"/>
    <w:rsid w:val="00F6316E"/>
    <w:rsid w:val="00F632D2"/>
    <w:rsid w:val="00F636CA"/>
    <w:rsid w:val="00F63B60"/>
    <w:rsid w:val="00F645F7"/>
    <w:rsid w:val="00F64B5C"/>
    <w:rsid w:val="00F64DEA"/>
    <w:rsid w:val="00F65383"/>
    <w:rsid w:val="00F65B86"/>
    <w:rsid w:val="00F67394"/>
    <w:rsid w:val="00F67F47"/>
    <w:rsid w:val="00F72287"/>
    <w:rsid w:val="00F725AF"/>
    <w:rsid w:val="00F733F3"/>
    <w:rsid w:val="00F747D1"/>
    <w:rsid w:val="00F75724"/>
    <w:rsid w:val="00F7609B"/>
    <w:rsid w:val="00F8087B"/>
    <w:rsid w:val="00F8198B"/>
    <w:rsid w:val="00F82A75"/>
    <w:rsid w:val="00F82A9B"/>
    <w:rsid w:val="00F8453F"/>
    <w:rsid w:val="00F85711"/>
    <w:rsid w:val="00F857F0"/>
    <w:rsid w:val="00F85C64"/>
    <w:rsid w:val="00F85F7C"/>
    <w:rsid w:val="00F864A3"/>
    <w:rsid w:val="00F869B5"/>
    <w:rsid w:val="00F908F3"/>
    <w:rsid w:val="00F91489"/>
    <w:rsid w:val="00F941A0"/>
    <w:rsid w:val="00F94E37"/>
    <w:rsid w:val="00F96F41"/>
    <w:rsid w:val="00FA0B72"/>
    <w:rsid w:val="00FA0E8E"/>
    <w:rsid w:val="00FA11DC"/>
    <w:rsid w:val="00FA36C6"/>
    <w:rsid w:val="00FA417A"/>
    <w:rsid w:val="00FA4AE7"/>
    <w:rsid w:val="00FA4E57"/>
    <w:rsid w:val="00FA579C"/>
    <w:rsid w:val="00FA6EA6"/>
    <w:rsid w:val="00FA7395"/>
    <w:rsid w:val="00FB1A75"/>
    <w:rsid w:val="00FB1AA3"/>
    <w:rsid w:val="00FB1C90"/>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3FD"/>
    <w:rsid w:val="00FE255C"/>
    <w:rsid w:val="00FE2FC2"/>
    <w:rsid w:val="00FE461D"/>
    <w:rsid w:val="00FE5C06"/>
    <w:rsid w:val="00FE5D52"/>
    <w:rsid w:val="00FE7354"/>
    <w:rsid w:val="00FF1A1F"/>
    <w:rsid w:val="00FF24AE"/>
    <w:rsid w:val="00FF628D"/>
    <w:rsid w:val="00FF765D"/>
    <w:rsid w:val="0767B820"/>
    <w:rsid w:val="23A1AF4F"/>
    <w:rsid w:val="257AC187"/>
    <w:rsid w:val="5642C4A5"/>
    <w:rsid w:val="5E64D3D8"/>
    <w:rsid w:val="66722E48"/>
    <w:rsid w:val="692C43C2"/>
    <w:rsid w:val="700DF45B"/>
    <w:rsid w:val="7D11B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docId w15:val="{17EA95EF-FB56-6640-9143-7153FA1F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155904"/>
    <w:pPr>
      <w:spacing w:line="360" w:lineRule="auto"/>
      <w:ind w:left="714" w:hanging="357"/>
      <w:jc w:val="both"/>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155904"/>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character" w:styleId="Strong">
    <w:name w:val="Strong"/>
    <w:basedOn w:val="DefaultParagraphFont"/>
    <w:uiPriority w:val="22"/>
    <w:qFormat/>
    <w:rsid w:val="00F142BA"/>
    <w:rPr>
      <w:b/>
      <w:bCs/>
    </w:rPr>
  </w:style>
  <w:style w:type="character" w:customStyle="1" w:styleId="apple-converted-space">
    <w:name w:val="apple-converted-space"/>
    <w:basedOn w:val="DefaultParagraphFont"/>
    <w:rsid w:val="00F14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7952">
      <w:bodyDiv w:val="1"/>
      <w:marLeft w:val="0"/>
      <w:marRight w:val="0"/>
      <w:marTop w:val="0"/>
      <w:marBottom w:val="0"/>
      <w:divBdr>
        <w:top w:val="none" w:sz="0" w:space="0" w:color="auto"/>
        <w:left w:val="none" w:sz="0" w:space="0" w:color="auto"/>
        <w:bottom w:val="none" w:sz="0" w:space="0" w:color="auto"/>
        <w:right w:val="none" w:sz="0" w:space="0" w:color="auto"/>
      </w:divBdr>
    </w:div>
    <w:div w:id="242109769">
      <w:bodyDiv w:val="1"/>
      <w:marLeft w:val="0"/>
      <w:marRight w:val="0"/>
      <w:marTop w:val="0"/>
      <w:marBottom w:val="0"/>
      <w:divBdr>
        <w:top w:val="none" w:sz="0" w:space="0" w:color="auto"/>
        <w:left w:val="none" w:sz="0" w:space="0" w:color="auto"/>
        <w:bottom w:val="none" w:sz="0" w:space="0" w:color="auto"/>
        <w:right w:val="none" w:sz="0" w:space="0" w:color="auto"/>
      </w:divBdr>
      <w:divsChild>
        <w:div w:id="511260851">
          <w:marLeft w:val="0"/>
          <w:marRight w:val="0"/>
          <w:marTop w:val="0"/>
          <w:marBottom w:val="0"/>
          <w:divBdr>
            <w:top w:val="none" w:sz="0" w:space="0" w:color="auto"/>
            <w:left w:val="none" w:sz="0" w:space="0" w:color="auto"/>
            <w:bottom w:val="none" w:sz="0" w:space="0" w:color="auto"/>
            <w:right w:val="none" w:sz="0" w:space="0" w:color="auto"/>
          </w:divBdr>
          <w:divsChild>
            <w:div w:id="447773863">
              <w:marLeft w:val="0"/>
              <w:marRight w:val="0"/>
              <w:marTop w:val="0"/>
              <w:marBottom w:val="0"/>
              <w:divBdr>
                <w:top w:val="none" w:sz="0" w:space="0" w:color="auto"/>
                <w:left w:val="none" w:sz="0" w:space="0" w:color="auto"/>
                <w:bottom w:val="none" w:sz="0" w:space="0" w:color="auto"/>
                <w:right w:val="none" w:sz="0" w:space="0" w:color="auto"/>
              </w:divBdr>
              <w:divsChild>
                <w:div w:id="1337610223">
                  <w:marLeft w:val="0"/>
                  <w:marRight w:val="0"/>
                  <w:marTop w:val="0"/>
                  <w:marBottom w:val="0"/>
                  <w:divBdr>
                    <w:top w:val="none" w:sz="0" w:space="0" w:color="auto"/>
                    <w:left w:val="none" w:sz="0" w:space="0" w:color="auto"/>
                    <w:bottom w:val="none" w:sz="0" w:space="0" w:color="auto"/>
                    <w:right w:val="none" w:sz="0" w:space="0" w:color="auto"/>
                  </w:divBdr>
                </w:div>
              </w:divsChild>
            </w:div>
            <w:div w:id="835994864">
              <w:marLeft w:val="0"/>
              <w:marRight w:val="0"/>
              <w:marTop w:val="0"/>
              <w:marBottom w:val="0"/>
              <w:divBdr>
                <w:top w:val="none" w:sz="0" w:space="0" w:color="auto"/>
                <w:left w:val="none" w:sz="0" w:space="0" w:color="auto"/>
                <w:bottom w:val="none" w:sz="0" w:space="0" w:color="auto"/>
                <w:right w:val="none" w:sz="0" w:space="0" w:color="auto"/>
              </w:divBdr>
              <w:divsChild>
                <w:div w:id="1288469945">
                  <w:marLeft w:val="0"/>
                  <w:marRight w:val="0"/>
                  <w:marTop w:val="0"/>
                  <w:marBottom w:val="0"/>
                  <w:divBdr>
                    <w:top w:val="none" w:sz="0" w:space="0" w:color="auto"/>
                    <w:left w:val="none" w:sz="0" w:space="0" w:color="auto"/>
                    <w:bottom w:val="none" w:sz="0" w:space="0" w:color="auto"/>
                    <w:right w:val="none" w:sz="0" w:space="0" w:color="auto"/>
                  </w:divBdr>
                </w:div>
                <w:div w:id="1550336507">
                  <w:marLeft w:val="0"/>
                  <w:marRight w:val="0"/>
                  <w:marTop w:val="0"/>
                  <w:marBottom w:val="0"/>
                  <w:divBdr>
                    <w:top w:val="none" w:sz="0" w:space="0" w:color="auto"/>
                    <w:left w:val="none" w:sz="0" w:space="0" w:color="auto"/>
                    <w:bottom w:val="none" w:sz="0" w:space="0" w:color="auto"/>
                    <w:right w:val="none" w:sz="0" w:space="0" w:color="auto"/>
                  </w:divBdr>
                </w:div>
                <w:div w:id="1577862907">
                  <w:marLeft w:val="0"/>
                  <w:marRight w:val="0"/>
                  <w:marTop w:val="0"/>
                  <w:marBottom w:val="0"/>
                  <w:divBdr>
                    <w:top w:val="none" w:sz="0" w:space="0" w:color="auto"/>
                    <w:left w:val="none" w:sz="0" w:space="0" w:color="auto"/>
                    <w:bottom w:val="none" w:sz="0" w:space="0" w:color="auto"/>
                    <w:right w:val="none" w:sz="0" w:space="0" w:color="auto"/>
                  </w:divBdr>
                </w:div>
                <w:div w:id="1747800292">
                  <w:marLeft w:val="0"/>
                  <w:marRight w:val="0"/>
                  <w:marTop w:val="0"/>
                  <w:marBottom w:val="0"/>
                  <w:divBdr>
                    <w:top w:val="none" w:sz="0" w:space="0" w:color="auto"/>
                    <w:left w:val="none" w:sz="0" w:space="0" w:color="auto"/>
                    <w:bottom w:val="none" w:sz="0" w:space="0" w:color="auto"/>
                    <w:right w:val="none" w:sz="0" w:space="0" w:color="auto"/>
                  </w:divBdr>
                </w:div>
              </w:divsChild>
            </w:div>
            <w:div w:id="1059018227">
              <w:marLeft w:val="0"/>
              <w:marRight w:val="0"/>
              <w:marTop w:val="0"/>
              <w:marBottom w:val="0"/>
              <w:divBdr>
                <w:top w:val="none" w:sz="0" w:space="0" w:color="auto"/>
                <w:left w:val="none" w:sz="0" w:space="0" w:color="auto"/>
                <w:bottom w:val="none" w:sz="0" w:space="0" w:color="auto"/>
                <w:right w:val="none" w:sz="0" w:space="0" w:color="auto"/>
              </w:divBdr>
              <w:divsChild>
                <w:div w:id="532959266">
                  <w:marLeft w:val="0"/>
                  <w:marRight w:val="0"/>
                  <w:marTop w:val="0"/>
                  <w:marBottom w:val="0"/>
                  <w:divBdr>
                    <w:top w:val="none" w:sz="0" w:space="0" w:color="auto"/>
                    <w:left w:val="none" w:sz="0" w:space="0" w:color="auto"/>
                    <w:bottom w:val="none" w:sz="0" w:space="0" w:color="auto"/>
                    <w:right w:val="none" w:sz="0" w:space="0" w:color="auto"/>
                  </w:divBdr>
                </w:div>
              </w:divsChild>
            </w:div>
            <w:div w:id="1150633596">
              <w:marLeft w:val="0"/>
              <w:marRight w:val="0"/>
              <w:marTop w:val="0"/>
              <w:marBottom w:val="0"/>
              <w:divBdr>
                <w:top w:val="none" w:sz="0" w:space="0" w:color="auto"/>
                <w:left w:val="none" w:sz="0" w:space="0" w:color="auto"/>
                <w:bottom w:val="none" w:sz="0" w:space="0" w:color="auto"/>
                <w:right w:val="none" w:sz="0" w:space="0" w:color="auto"/>
              </w:divBdr>
              <w:divsChild>
                <w:div w:id="138112113">
                  <w:marLeft w:val="0"/>
                  <w:marRight w:val="0"/>
                  <w:marTop w:val="0"/>
                  <w:marBottom w:val="0"/>
                  <w:divBdr>
                    <w:top w:val="none" w:sz="0" w:space="0" w:color="auto"/>
                    <w:left w:val="none" w:sz="0" w:space="0" w:color="auto"/>
                    <w:bottom w:val="none" w:sz="0" w:space="0" w:color="auto"/>
                    <w:right w:val="none" w:sz="0" w:space="0" w:color="auto"/>
                  </w:divBdr>
                </w:div>
                <w:div w:id="302731420">
                  <w:marLeft w:val="0"/>
                  <w:marRight w:val="0"/>
                  <w:marTop w:val="0"/>
                  <w:marBottom w:val="0"/>
                  <w:divBdr>
                    <w:top w:val="none" w:sz="0" w:space="0" w:color="auto"/>
                    <w:left w:val="none" w:sz="0" w:space="0" w:color="auto"/>
                    <w:bottom w:val="none" w:sz="0" w:space="0" w:color="auto"/>
                    <w:right w:val="none" w:sz="0" w:space="0" w:color="auto"/>
                  </w:divBdr>
                </w:div>
                <w:div w:id="557518654">
                  <w:marLeft w:val="0"/>
                  <w:marRight w:val="0"/>
                  <w:marTop w:val="0"/>
                  <w:marBottom w:val="0"/>
                  <w:divBdr>
                    <w:top w:val="none" w:sz="0" w:space="0" w:color="auto"/>
                    <w:left w:val="none" w:sz="0" w:space="0" w:color="auto"/>
                    <w:bottom w:val="none" w:sz="0" w:space="0" w:color="auto"/>
                    <w:right w:val="none" w:sz="0" w:space="0" w:color="auto"/>
                  </w:divBdr>
                </w:div>
                <w:div w:id="962342946">
                  <w:marLeft w:val="0"/>
                  <w:marRight w:val="0"/>
                  <w:marTop w:val="0"/>
                  <w:marBottom w:val="0"/>
                  <w:divBdr>
                    <w:top w:val="none" w:sz="0" w:space="0" w:color="auto"/>
                    <w:left w:val="none" w:sz="0" w:space="0" w:color="auto"/>
                    <w:bottom w:val="none" w:sz="0" w:space="0" w:color="auto"/>
                    <w:right w:val="none" w:sz="0" w:space="0" w:color="auto"/>
                  </w:divBdr>
                </w:div>
                <w:div w:id="1120995932">
                  <w:marLeft w:val="0"/>
                  <w:marRight w:val="0"/>
                  <w:marTop w:val="0"/>
                  <w:marBottom w:val="0"/>
                  <w:divBdr>
                    <w:top w:val="none" w:sz="0" w:space="0" w:color="auto"/>
                    <w:left w:val="none" w:sz="0" w:space="0" w:color="auto"/>
                    <w:bottom w:val="none" w:sz="0" w:space="0" w:color="auto"/>
                    <w:right w:val="none" w:sz="0" w:space="0" w:color="auto"/>
                  </w:divBdr>
                </w:div>
                <w:div w:id="1647129748">
                  <w:marLeft w:val="0"/>
                  <w:marRight w:val="0"/>
                  <w:marTop w:val="0"/>
                  <w:marBottom w:val="0"/>
                  <w:divBdr>
                    <w:top w:val="none" w:sz="0" w:space="0" w:color="auto"/>
                    <w:left w:val="none" w:sz="0" w:space="0" w:color="auto"/>
                    <w:bottom w:val="none" w:sz="0" w:space="0" w:color="auto"/>
                    <w:right w:val="none" w:sz="0" w:space="0" w:color="auto"/>
                  </w:divBdr>
                </w:div>
              </w:divsChild>
            </w:div>
            <w:div w:id="1154178707">
              <w:marLeft w:val="0"/>
              <w:marRight w:val="0"/>
              <w:marTop w:val="0"/>
              <w:marBottom w:val="0"/>
              <w:divBdr>
                <w:top w:val="none" w:sz="0" w:space="0" w:color="auto"/>
                <w:left w:val="none" w:sz="0" w:space="0" w:color="auto"/>
                <w:bottom w:val="none" w:sz="0" w:space="0" w:color="auto"/>
                <w:right w:val="none" w:sz="0" w:space="0" w:color="auto"/>
              </w:divBdr>
              <w:divsChild>
                <w:div w:id="573390988">
                  <w:marLeft w:val="0"/>
                  <w:marRight w:val="0"/>
                  <w:marTop w:val="0"/>
                  <w:marBottom w:val="0"/>
                  <w:divBdr>
                    <w:top w:val="none" w:sz="0" w:space="0" w:color="auto"/>
                    <w:left w:val="none" w:sz="0" w:space="0" w:color="auto"/>
                    <w:bottom w:val="none" w:sz="0" w:space="0" w:color="auto"/>
                    <w:right w:val="none" w:sz="0" w:space="0" w:color="auto"/>
                  </w:divBdr>
                </w:div>
              </w:divsChild>
            </w:div>
            <w:div w:id="1196190864">
              <w:marLeft w:val="0"/>
              <w:marRight w:val="0"/>
              <w:marTop w:val="0"/>
              <w:marBottom w:val="0"/>
              <w:divBdr>
                <w:top w:val="none" w:sz="0" w:space="0" w:color="auto"/>
                <w:left w:val="none" w:sz="0" w:space="0" w:color="auto"/>
                <w:bottom w:val="none" w:sz="0" w:space="0" w:color="auto"/>
                <w:right w:val="none" w:sz="0" w:space="0" w:color="auto"/>
              </w:divBdr>
              <w:divsChild>
                <w:div w:id="1408066629">
                  <w:marLeft w:val="0"/>
                  <w:marRight w:val="0"/>
                  <w:marTop w:val="0"/>
                  <w:marBottom w:val="0"/>
                  <w:divBdr>
                    <w:top w:val="none" w:sz="0" w:space="0" w:color="auto"/>
                    <w:left w:val="none" w:sz="0" w:space="0" w:color="auto"/>
                    <w:bottom w:val="none" w:sz="0" w:space="0" w:color="auto"/>
                    <w:right w:val="none" w:sz="0" w:space="0" w:color="auto"/>
                  </w:divBdr>
                </w:div>
              </w:divsChild>
            </w:div>
            <w:div w:id="1375427175">
              <w:marLeft w:val="0"/>
              <w:marRight w:val="0"/>
              <w:marTop w:val="0"/>
              <w:marBottom w:val="0"/>
              <w:divBdr>
                <w:top w:val="none" w:sz="0" w:space="0" w:color="auto"/>
                <w:left w:val="none" w:sz="0" w:space="0" w:color="auto"/>
                <w:bottom w:val="none" w:sz="0" w:space="0" w:color="auto"/>
                <w:right w:val="none" w:sz="0" w:space="0" w:color="auto"/>
              </w:divBdr>
              <w:divsChild>
                <w:div w:id="967855615">
                  <w:marLeft w:val="0"/>
                  <w:marRight w:val="0"/>
                  <w:marTop w:val="0"/>
                  <w:marBottom w:val="0"/>
                  <w:divBdr>
                    <w:top w:val="none" w:sz="0" w:space="0" w:color="auto"/>
                    <w:left w:val="none" w:sz="0" w:space="0" w:color="auto"/>
                    <w:bottom w:val="none" w:sz="0" w:space="0" w:color="auto"/>
                    <w:right w:val="none" w:sz="0" w:space="0" w:color="auto"/>
                  </w:divBdr>
                </w:div>
                <w:div w:id="1453942053">
                  <w:marLeft w:val="0"/>
                  <w:marRight w:val="0"/>
                  <w:marTop w:val="0"/>
                  <w:marBottom w:val="0"/>
                  <w:divBdr>
                    <w:top w:val="none" w:sz="0" w:space="0" w:color="auto"/>
                    <w:left w:val="none" w:sz="0" w:space="0" w:color="auto"/>
                    <w:bottom w:val="none" w:sz="0" w:space="0" w:color="auto"/>
                    <w:right w:val="none" w:sz="0" w:space="0" w:color="auto"/>
                  </w:divBdr>
                </w:div>
                <w:div w:id="1475099384">
                  <w:marLeft w:val="0"/>
                  <w:marRight w:val="0"/>
                  <w:marTop w:val="0"/>
                  <w:marBottom w:val="0"/>
                  <w:divBdr>
                    <w:top w:val="none" w:sz="0" w:space="0" w:color="auto"/>
                    <w:left w:val="none" w:sz="0" w:space="0" w:color="auto"/>
                    <w:bottom w:val="none" w:sz="0" w:space="0" w:color="auto"/>
                    <w:right w:val="none" w:sz="0" w:space="0" w:color="auto"/>
                  </w:divBdr>
                </w:div>
                <w:div w:id="1652715973">
                  <w:marLeft w:val="0"/>
                  <w:marRight w:val="0"/>
                  <w:marTop w:val="0"/>
                  <w:marBottom w:val="0"/>
                  <w:divBdr>
                    <w:top w:val="none" w:sz="0" w:space="0" w:color="auto"/>
                    <w:left w:val="none" w:sz="0" w:space="0" w:color="auto"/>
                    <w:bottom w:val="none" w:sz="0" w:space="0" w:color="auto"/>
                    <w:right w:val="none" w:sz="0" w:space="0" w:color="auto"/>
                  </w:divBdr>
                </w:div>
              </w:divsChild>
            </w:div>
            <w:div w:id="1708214908">
              <w:marLeft w:val="0"/>
              <w:marRight w:val="0"/>
              <w:marTop w:val="0"/>
              <w:marBottom w:val="0"/>
              <w:divBdr>
                <w:top w:val="none" w:sz="0" w:space="0" w:color="auto"/>
                <w:left w:val="none" w:sz="0" w:space="0" w:color="auto"/>
                <w:bottom w:val="none" w:sz="0" w:space="0" w:color="auto"/>
                <w:right w:val="none" w:sz="0" w:space="0" w:color="auto"/>
              </w:divBdr>
              <w:divsChild>
                <w:div w:id="9594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5758">
          <w:marLeft w:val="0"/>
          <w:marRight w:val="0"/>
          <w:marTop w:val="0"/>
          <w:marBottom w:val="0"/>
          <w:divBdr>
            <w:top w:val="none" w:sz="0" w:space="0" w:color="auto"/>
            <w:left w:val="none" w:sz="0" w:space="0" w:color="auto"/>
            <w:bottom w:val="none" w:sz="0" w:space="0" w:color="auto"/>
            <w:right w:val="none" w:sz="0" w:space="0" w:color="auto"/>
          </w:divBdr>
          <w:divsChild>
            <w:div w:id="28115107">
              <w:marLeft w:val="0"/>
              <w:marRight w:val="0"/>
              <w:marTop w:val="0"/>
              <w:marBottom w:val="0"/>
              <w:divBdr>
                <w:top w:val="none" w:sz="0" w:space="0" w:color="auto"/>
                <w:left w:val="none" w:sz="0" w:space="0" w:color="auto"/>
                <w:bottom w:val="none" w:sz="0" w:space="0" w:color="auto"/>
                <w:right w:val="none" w:sz="0" w:space="0" w:color="auto"/>
              </w:divBdr>
              <w:divsChild>
                <w:div w:id="446198552">
                  <w:marLeft w:val="0"/>
                  <w:marRight w:val="0"/>
                  <w:marTop w:val="0"/>
                  <w:marBottom w:val="0"/>
                  <w:divBdr>
                    <w:top w:val="none" w:sz="0" w:space="0" w:color="auto"/>
                    <w:left w:val="none" w:sz="0" w:space="0" w:color="auto"/>
                    <w:bottom w:val="none" w:sz="0" w:space="0" w:color="auto"/>
                    <w:right w:val="none" w:sz="0" w:space="0" w:color="auto"/>
                  </w:divBdr>
                </w:div>
              </w:divsChild>
            </w:div>
            <w:div w:id="34504670">
              <w:marLeft w:val="0"/>
              <w:marRight w:val="0"/>
              <w:marTop w:val="0"/>
              <w:marBottom w:val="0"/>
              <w:divBdr>
                <w:top w:val="none" w:sz="0" w:space="0" w:color="auto"/>
                <w:left w:val="none" w:sz="0" w:space="0" w:color="auto"/>
                <w:bottom w:val="none" w:sz="0" w:space="0" w:color="auto"/>
                <w:right w:val="none" w:sz="0" w:space="0" w:color="auto"/>
              </w:divBdr>
              <w:divsChild>
                <w:div w:id="1087115866">
                  <w:marLeft w:val="0"/>
                  <w:marRight w:val="0"/>
                  <w:marTop w:val="0"/>
                  <w:marBottom w:val="0"/>
                  <w:divBdr>
                    <w:top w:val="none" w:sz="0" w:space="0" w:color="auto"/>
                    <w:left w:val="none" w:sz="0" w:space="0" w:color="auto"/>
                    <w:bottom w:val="none" w:sz="0" w:space="0" w:color="auto"/>
                    <w:right w:val="none" w:sz="0" w:space="0" w:color="auto"/>
                  </w:divBdr>
                </w:div>
              </w:divsChild>
            </w:div>
            <w:div w:id="88158659">
              <w:marLeft w:val="0"/>
              <w:marRight w:val="0"/>
              <w:marTop w:val="0"/>
              <w:marBottom w:val="0"/>
              <w:divBdr>
                <w:top w:val="none" w:sz="0" w:space="0" w:color="auto"/>
                <w:left w:val="none" w:sz="0" w:space="0" w:color="auto"/>
                <w:bottom w:val="none" w:sz="0" w:space="0" w:color="auto"/>
                <w:right w:val="none" w:sz="0" w:space="0" w:color="auto"/>
              </w:divBdr>
              <w:divsChild>
                <w:div w:id="110444302">
                  <w:marLeft w:val="0"/>
                  <w:marRight w:val="0"/>
                  <w:marTop w:val="0"/>
                  <w:marBottom w:val="0"/>
                  <w:divBdr>
                    <w:top w:val="none" w:sz="0" w:space="0" w:color="auto"/>
                    <w:left w:val="none" w:sz="0" w:space="0" w:color="auto"/>
                    <w:bottom w:val="none" w:sz="0" w:space="0" w:color="auto"/>
                    <w:right w:val="none" w:sz="0" w:space="0" w:color="auto"/>
                  </w:divBdr>
                </w:div>
                <w:div w:id="1283148869">
                  <w:marLeft w:val="0"/>
                  <w:marRight w:val="0"/>
                  <w:marTop w:val="0"/>
                  <w:marBottom w:val="0"/>
                  <w:divBdr>
                    <w:top w:val="none" w:sz="0" w:space="0" w:color="auto"/>
                    <w:left w:val="none" w:sz="0" w:space="0" w:color="auto"/>
                    <w:bottom w:val="none" w:sz="0" w:space="0" w:color="auto"/>
                    <w:right w:val="none" w:sz="0" w:space="0" w:color="auto"/>
                  </w:divBdr>
                </w:div>
              </w:divsChild>
            </w:div>
            <w:div w:id="306084680">
              <w:marLeft w:val="0"/>
              <w:marRight w:val="0"/>
              <w:marTop w:val="0"/>
              <w:marBottom w:val="0"/>
              <w:divBdr>
                <w:top w:val="none" w:sz="0" w:space="0" w:color="auto"/>
                <w:left w:val="none" w:sz="0" w:space="0" w:color="auto"/>
                <w:bottom w:val="none" w:sz="0" w:space="0" w:color="auto"/>
                <w:right w:val="none" w:sz="0" w:space="0" w:color="auto"/>
              </w:divBdr>
              <w:divsChild>
                <w:div w:id="2049525969">
                  <w:marLeft w:val="0"/>
                  <w:marRight w:val="0"/>
                  <w:marTop w:val="0"/>
                  <w:marBottom w:val="0"/>
                  <w:divBdr>
                    <w:top w:val="none" w:sz="0" w:space="0" w:color="auto"/>
                    <w:left w:val="none" w:sz="0" w:space="0" w:color="auto"/>
                    <w:bottom w:val="none" w:sz="0" w:space="0" w:color="auto"/>
                    <w:right w:val="none" w:sz="0" w:space="0" w:color="auto"/>
                  </w:divBdr>
                </w:div>
              </w:divsChild>
            </w:div>
            <w:div w:id="1042093770">
              <w:marLeft w:val="0"/>
              <w:marRight w:val="0"/>
              <w:marTop w:val="0"/>
              <w:marBottom w:val="0"/>
              <w:divBdr>
                <w:top w:val="none" w:sz="0" w:space="0" w:color="auto"/>
                <w:left w:val="none" w:sz="0" w:space="0" w:color="auto"/>
                <w:bottom w:val="none" w:sz="0" w:space="0" w:color="auto"/>
                <w:right w:val="none" w:sz="0" w:space="0" w:color="auto"/>
              </w:divBdr>
              <w:divsChild>
                <w:div w:id="1309632207">
                  <w:marLeft w:val="0"/>
                  <w:marRight w:val="0"/>
                  <w:marTop w:val="0"/>
                  <w:marBottom w:val="0"/>
                  <w:divBdr>
                    <w:top w:val="none" w:sz="0" w:space="0" w:color="auto"/>
                    <w:left w:val="none" w:sz="0" w:space="0" w:color="auto"/>
                    <w:bottom w:val="none" w:sz="0" w:space="0" w:color="auto"/>
                    <w:right w:val="none" w:sz="0" w:space="0" w:color="auto"/>
                  </w:divBdr>
                </w:div>
                <w:div w:id="1757439862">
                  <w:marLeft w:val="0"/>
                  <w:marRight w:val="0"/>
                  <w:marTop w:val="0"/>
                  <w:marBottom w:val="0"/>
                  <w:divBdr>
                    <w:top w:val="none" w:sz="0" w:space="0" w:color="auto"/>
                    <w:left w:val="none" w:sz="0" w:space="0" w:color="auto"/>
                    <w:bottom w:val="none" w:sz="0" w:space="0" w:color="auto"/>
                    <w:right w:val="none" w:sz="0" w:space="0" w:color="auto"/>
                  </w:divBdr>
                </w:div>
              </w:divsChild>
            </w:div>
            <w:div w:id="1149249970">
              <w:marLeft w:val="0"/>
              <w:marRight w:val="0"/>
              <w:marTop w:val="0"/>
              <w:marBottom w:val="0"/>
              <w:divBdr>
                <w:top w:val="none" w:sz="0" w:space="0" w:color="auto"/>
                <w:left w:val="none" w:sz="0" w:space="0" w:color="auto"/>
                <w:bottom w:val="none" w:sz="0" w:space="0" w:color="auto"/>
                <w:right w:val="none" w:sz="0" w:space="0" w:color="auto"/>
              </w:divBdr>
              <w:divsChild>
                <w:div w:id="297687859">
                  <w:marLeft w:val="0"/>
                  <w:marRight w:val="0"/>
                  <w:marTop w:val="0"/>
                  <w:marBottom w:val="0"/>
                  <w:divBdr>
                    <w:top w:val="none" w:sz="0" w:space="0" w:color="auto"/>
                    <w:left w:val="none" w:sz="0" w:space="0" w:color="auto"/>
                    <w:bottom w:val="none" w:sz="0" w:space="0" w:color="auto"/>
                    <w:right w:val="none" w:sz="0" w:space="0" w:color="auto"/>
                  </w:divBdr>
                </w:div>
                <w:div w:id="1541749699">
                  <w:marLeft w:val="0"/>
                  <w:marRight w:val="0"/>
                  <w:marTop w:val="0"/>
                  <w:marBottom w:val="0"/>
                  <w:divBdr>
                    <w:top w:val="none" w:sz="0" w:space="0" w:color="auto"/>
                    <w:left w:val="none" w:sz="0" w:space="0" w:color="auto"/>
                    <w:bottom w:val="none" w:sz="0" w:space="0" w:color="auto"/>
                    <w:right w:val="none" w:sz="0" w:space="0" w:color="auto"/>
                  </w:divBdr>
                </w:div>
              </w:divsChild>
            </w:div>
            <w:div w:id="1174413235">
              <w:marLeft w:val="0"/>
              <w:marRight w:val="0"/>
              <w:marTop w:val="0"/>
              <w:marBottom w:val="0"/>
              <w:divBdr>
                <w:top w:val="none" w:sz="0" w:space="0" w:color="auto"/>
                <w:left w:val="none" w:sz="0" w:space="0" w:color="auto"/>
                <w:bottom w:val="none" w:sz="0" w:space="0" w:color="auto"/>
                <w:right w:val="none" w:sz="0" w:space="0" w:color="auto"/>
              </w:divBdr>
              <w:divsChild>
                <w:div w:id="408965514">
                  <w:marLeft w:val="0"/>
                  <w:marRight w:val="0"/>
                  <w:marTop w:val="0"/>
                  <w:marBottom w:val="0"/>
                  <w:divBdr>
                    <w:top w:val="none" w:sz="0" w:space="0" w:color="auto"/>
                    <w:left w:val="none" w:sz="0" w:space="0" w:color="auto"/>
                    <w:bottom w:val="none" w:sz="0" w:space="0" w:color="auto"/>
                    <w:right w:val="none" w:sz="0" w:space="0" w:color="auto"/>
                  </w:divBdr>
                </w:div>
              </w:divsChild>
            </w:div>
            <w:div w:id="1623995659">
              <w:marLeft w:val="0"/>
              <w:marRight w:val="0"/>
              <w:marTop w:val="0"/>
              <w:marBottom w:val="0"/>
              <w:divBdr>
                <w:top w:val="none" w:sz="0" w:space="0" w:color="auto"/>
                <w:left w:val="none" w:sz="0" w:space="0" w:color="auto"/>
                <w:bottom w:val="none" w:sz="0" w:space="0" w:color="auto"/>
                <w:right w:val="none" w:sz="0" w:space="0" w:color="auto"/>
              </w:divBdr>
              <w:divsChild>
                <w:div w:id="2080252452">
                  <w:marLeft w:val="0"/>
                  <w:marRight w:val="0"/>
                  <w:marTop w:val="0"/>
                  <w:marBottom w:val="0"/>
                  <w:divBdr>
                    <w:top w:val="none" w:sz="0" w:space="0" w:color="auto"/>
                    <w:left w:val="none" w:sz="0" w:space="0" w:color="auto"/>
                    <w:bottom w:val="none" w:sz="0" w:space="0" w:color="auto"/>
                    <w:right w:val="none" w:sz="0" w:space="0" w:color="auto"/>
                  </w:divBdr>
                </w:div>
              </w:divsChild>
            </w:div>
            <w:div w:id="1826239762">
              <w:marLeft w:val="0"/>
              <w:marRight w:val="0"/>
              <w:marTop w:val="0"/>
              <w:marBottom w:val="0"/>
              <w:divBdr>
                <w:top w:val="none" w:sz="0" w:space="0" w:color="auto"/>
                <w:left w:val="none" w:sz="0" w:space="0" w:color="auto"/>
                <w:bottom w:val="none" w:sz="0" w:space="0" w:color="auto"/>
                <w:right w:val="none" w:sz="0" w:space="0" w:color="auto"/>
              </w:divBdr>
              <w:divsChild>
                <w:div w:id="854463107">
                  <w:marLeft w:val="0"/>
                  <w:marRight w:val="0"/>
                  <w:marTop w:val="0"/>
                  <w:marBottom w:val="0"/>
                  <w:divBdr>
                    <w:top w:val="none" w:sz="0" w:space="0" w:color="auto"/>
                    <w:left w:val="none" w:sz="0" w:space="0" w:color="auto"/>
                    <w:bottom w:val="none" w:sz="0" w:space="0" w:color="auto"/>
                    <w:right w:val="none" w:sz="0" w:space="0" w:color="auto"/>
                  </w:divBdr>
                </w:div>
                <w:div w:id="893008956">
                  <w:marLeft w:val="0"/>
                  <w:marRight w:val="0"/>
                  <w:marTop w:val="0"/>
                  <w:marBottom w:val="0"/>
                  <w:divBdr>
                    <w:top w:val="none" w:sz="0" w:space="0" w:color="auto"/>
                    <w:left w:val="none" w:sz="0" w:space="0" w:color="auto"/>
                    <w:bottom w:val="none" w:sz="0" w:space="0" w:color="auto"/>
                    <w:right w:val="none" w:sz="0" w:space="0" w:color="auto"/>
                  </w:divBdr>
                </w:div>
                <w:div w:id="1052653183">
                  <w:marLeft w:val="0"/>
                  <w:marRight w:val="0"/>
                  <w:marTop w:val="0"/>
                  <w:marBottom w:val="0"/>
                  <w:divBdr>
                    <w:top w:val="none" w:sz="0" w:space="0" w:color="auto"/>
                    <w:left w:val="none" w:sz="0" w:space="0" w:color="auto"/>
                    <w:bottom w:val="none" w:sz="0" w:space="0" w:color="auto"/>
                    <w:right w:val="none" w:sz="0" w:space="0" w:color="auto"/>
                  </w:divBdr>
                </w:div>
                <w:div w:id="1920554940">
                  <w:marLeft w:val="0"/>
                  <w:marRight w:val="0"/>
                  <w:marTop w:val="0"/>
                  <w:marBottom w:val="0"/>
                  <w:divBdr>
                    <w:top w:val="none" w:sz="0" w:space="0" w:color="auto"/>
                    <w:left w:val="none" w:sz="0" w:space="0" w:color="auto"/>
                    <w:bottom w:val="none" w:sz="0" w:space="0" w:color="auto"/>
                    <w:right w:val="none" w:sz="0" w:space="0" w:color="auto"/>
                  </w:divBdr>
                </w:div>
              </w:divsChild>
            </w:div>
            <w:div w:id="1842817188">
              <w:marLeft w:val="0"/>
              <w:marRight w:val="0"/>
              <w:marTop w:val="0"/>
              <w:marBottom w:val="0"/>
              <w:divBdr>
                <w:top w:val="none" w:sz="0" w:space="0" w:color="auto"/>
                <w:left w:val="none" w:sz="0" w:space="0" w:color="auto"/>
                <w:bottom w:val="none" w:sz="0" w:space="0" w:color="auto"/>
                <w:right w:val="none" w:sz="0" w:space="0" w:color="auto"/>
              </w:divBdr>
              <w:divsChild>
                <w:div w:id="439181919">
                  <w:marLeft w:val="0"/>
                  <w:marRight w:val="0"/>
                  <w:marTop w:val="0"/>
                  <w:marBottom w:val="0"/>
                  <w:divBdr>
                    <w:top w:val="none" w:sz="0" w:space="0" w:color="auto"/>
                    <w:left w:val="none" w:sz="0" w:space="0" w:color="auto"/>
                    <w:bottom w:val="none" w:sz="0" w:space="0" w:color="auto"/>
                    <w:right w:val="none" w:sz="0" w:space="0" w:color="auto"/>
                  </w:divBdr>
                </w:div>
              </w:divsChild>
            </w:div>
            <w:div w:id="2020498404">
              <w:marLeft w:val="0"/>
              <w:marRight w:val="0"/>
              <w:marTop w:val="0"/>
              <w:marBottom w:val="0"/>
              <w:divBdr>
                <w:top w:val="none" w:sz="0" w:space="0" w:color="auto"/>
                <w:left w:val="none" w:sz="0" w:space="0" w:color="auto"/>
                <w:bottom w:val="none" w:sz="0" w:space="0" w:color="auto"/>
                <w:right w:val="none" w:sz="0" w:space="0" w:color="auto"/>
              </w:divBdr>
              <w:divsChild>
                <w:div w:id="1642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0675">
          <w:marLeft w:val="0"/>
          <w:marRight w:val="0"/>
          <w:marTop w:val="0"/>
          <w:marBottom w:val="0"/>
          <w:divBdr>
            <w:top w:val="none" w:sz="0" w:space="0" w:color="auto"/>
            <w:left w:val="none" w:sz="0" w:space="0" w:color="auto"/>
            <w:bottom w:val="none" w:sz="0" w:space="0" w:color="auto"/>
            <w:right w:val="none" w:sz="0" w:space="0" w:color="auto"/>
          </w:divBdr>
          <w:divsChild>
            <w:div w:id="63527251">
              <w:marLeft w:val="0"/>
              <w:marRight w:val="0"/>
              <w:marTop w:val="0"/>
              <w:marBottom w:val="0"/>
              <w:divBdr>
                <w:top w:val="none" w:sz="0" w:space="0" w:color="auto"/>
                <w:left w:val="none" w:sz="0" w:space="0" w:color="auto"/>
                <w:bottom w:val="none" w:sz="0" w:space="0" w:color="auto"/>
                <w:right w:val="none" w:sz="0" w:space="0" w:color="auto"/>
              </w:divBdr>
              <w:divsChild>
                <w:div w:id="548538799">
                  <w:marLeft w:val="0"/>
                  <w:marRight w:val="0"/>
                  <w:marTop w:val="0"/>
                  <w:marBottom w:val="0"/>
                  <w:divBdr>
                    <w:top w:val="none" w:sz="0" w:space="0" w:color="auto"/>
                    <w:left w:val="none" w:sz="0" w:space="0" w:color="auto"/>
                    <w:bottom w:val="none" w:sz="0" w:space="0" w:color="auto"/>
                    <w:right w:val="none" w:sz="0" w:space="0" w:color="auto"/>
                  </w:divBdr>
                </w:div>
              </w:divsChild>
            </w:div>
            <w:div w:id="171797074">
              <w:marLeft w:val="0"/>
              <w:marRight w:val="0"/>
              <w:marTop w:val="0"/>
              <w:marBottom w:val="0"/>
              <w:divBdr>
                <w:top w:val="none" w:sz="0" w:space="0" w:color="auto"/>
                <w:left w:val="none" w:sz="0" w:space="0" w:color="auto"/>
                <w:bottom w:val="none" w:sz="0" w:space="0" w:color="auto"/>
                <w:right w:val="none" w:sz="0" w:space="0" w:color="auto"/>
              </w:divBdr>
              <w:divsChild>
                <w:div w:id="1368331469">
                  <w:marLeft w:val="0"/>
                  <w:marRight w:val="0"/>
                  <w:marTop w:val="0"/>
                  <w:marBottom w:val="0"/>
                  <w:divBdr>
                    <w:top w:val="none" w:sz="0" w:space="0" w:color="auto"/>
                    <w:left w:val="none" w:sz="0" w:space="0" w:color="auto"/>
                    <w:bottom w:val="none" w:sz="0" w:space="0" w:color="auto"/>
                    <w:right w:val="none" w:sz="0" w:space="0" w:color="auto"/>
                  </w:divBdr>
                </w:div>
              </w:divsChild>
            </w:div>
            <w:div w:id="221019847">
              <w:marLeft w:val="0"/>
              <w:marRight w:val="0"/>
              <w:marTop w:val="0"/>
              <w:marBottom w:val="0"/>
              <w:divBdr>
                <w:top w:val="none" w:sz="0" w:space="0" w:color="auto"/>
                <w:left w:val="none" w:sz="0" w:space="0" w:color="auto"/>
                <w:bottom w:val="none" w:sz="0" w:space="0" w:color="auto"/>
                <w:right w:val="none" w:sz="0" w:space="0" w:color="auto"/>
              </w:divBdr>
              <w:divsChild>
                <w:div w:id="654916619">
                  <w:marLeft w:val="0"/>
                  <w:marRight w:val="0"/>
                  <w:marTop w:val="0"/>
                  <w:marBottom w:val="0"/>
                  <w:divBdr>
                    <w:top w:val="none" w:sz="0" w:space="0" w:color="auto"/>
                    <w:left w:val="none" w:sz="0" w:space="0" w:color="auto"/>
                    <w:bottom w:val="none" w:sz="0" w:space="0" w:color="auto"/>
                    <w:right w:val="none" w:sz="0" w:space="0" w:color="auto"/>
                  </w:divBdr>
                </w:div>
              </w:divsChild>
            </w:div>
            <w:div w:id="612202263">
              <w:marLeft w:val="0"/>
              <w:marRight w:val="0"/>
              <w:marTop w:val="0"/>
              <w:marBottom w:val="0"/>
              <w:divBdr>
                <w:top w:val="none" w:sz="0" w:space="0" w:color="auto"/>
                <w:left w:val="none" w:sz="0" w:space="0" w:color="auto"/>
                <w:bottom w:val="none" w:sz="0" w:space="0" w:color="auto"/>
                <w:right w:val="none" w:sz="0" w:space="0" w:color="auto"/>
              </w:divBdr>
              <w:divsChild>
                <w:div w:id="62528685">
                  <w:marLeft w:val="0"/>
                  <w:marRight w:val="0"/>
                  <w:marTop w:val="0"/>
                  <w:marBottom w:val="0"/>
                  <w:divBdr>
                    <w:top w:val="none" w:sz="0" w:space="0" w:color="auto"/>
                    <w:left w:val="none" w:sz="0" w:space="0" w:color="auto"/>
                    <w:bottom w:val="none" w:sz="0" w:space="0" w:color="auto"/>
                    <w:right w:val="none" w:sz="0" w:space="0" w:color="auto"/>
                  </w:divBdr>
                </w:div>
              </w:divsChild>
            </w:div>
            <w:div w:id="667556283">
              <w:marLeft w:val="0"/>
              <w:marRight w:val="0"/>
              <w:marTop w:val="0"/>
              <w:marBottom w:val="0"/>
              <w:divBdr>
                <w:top w:val="none" w:sz="0" w:space="0" w:color="auto"/>
                <w:left w:val="none" w:sz="0" w:space="0" w:color="auto"/>
                <w:bottom w:val="none" w:sz="0" w:space="0" w:color="auto"/>
                <w:right w:val="none" w:sz="0" w:space="0" w:color="auto"/>
              </w:divBdr>
              <w:divsChild>
                <w:div w:id="203030896">
                  <w:marLeft w:val="0"/>
                  <w:marRight w:val="0"/>
                  <w:marTop w:val="0"/>
                  <w:marBottom w:val="0"/>
                  <w:divBdr>
                    <w:top w:val="none" w:sz="0" w:space="0" w:color="auto"/>
                    <w:left w:val="none" w:sz="0" w:space="0" w:color="auto"/>
                    <w:bottom w:val="none" w:sz="0" w:space="0" w:color="auto"/>
                    <w:right w:val="none" w:sz="0" w:space="0" w:color="auto"/>
                  </w:divBdr>
                </w:div>
                <w:div w:id="615405728">
                  <w:marLeft w:val="0"/>
                  <w:marRight w:val="0"/>
                  <w:marTop w:val="0"/>
                  <w:marBottom w:val="0"/>
                  <w:divBdr>
                    <w:top w:val="none" w:sz="0" w:space="0" w:color="auto"/>
                    <w:left w:val="none" w:sz="0" w:space="0" w:color="auto"/>
                    <w:bottom w:val="none" w:sz="0" w:space="0" w:color="auto"/>
                    <w:right w:val="none" w:sz="0" w:space="0" w:color="auto"/>
                  </w:divBdr>
                </w:div>
              </w:divsChild>
            </w:div>
            <w:div w:id="758138886">
              <w:marLeft w:val="0"/>
              <w:marRight w:val="0"/>
              <w:marTop w:val="0"/>
              <w:marBottom w:val="0"/>
              <w:divBdr>
                <w:top w:val="none" w:sz="0" w:space="0" w:color="auto"/>
                <w:left w:val="none" w:sz="0" w:space="0" w:color="auto"/>
                <w:bottom w:val="none" w:sz="0" w:space="0" w:color="auto"/>
                <w:right w:val="none" w:sz="0" w:space="0" w:color="auto"/>
              </w:divBdr>
              <w:divsChild>
                <w:div w:id="449864887">
                  <w:marLeft w:val="0"/>
                  <w:marRight w:val="0"/>
                  <w:marTop w:val="0"/>
                  <w:marBottom w:val="0"/>
                  <w:divBdr>
                    <w:top w:val="none" w:sz="0" w:space="0" w:color="auto"/>
                    <w:left w:val="none" w:sz="0" w:space="0" w:color="auto"/>
                    <w:bottom w:val="none" w:sz="0" w:space="0" w:color="auto"/>
                    <w:right w:val="none" w:sz="0" w:space="0" w:color="auto"/>
                  </w:divBdr>
                </w:div>
                <w:div w:id="1959723556">
                  <w:marLeft w:val="0"/>
                  <w:marRight w:val="0"/>
                  <w:marTop w:val="0"/>
                  <w:marBottom w:val="0"/>
                  <w:divBdr>
                    <w:top w:val="none" w:sz="0" w:space="0" w:color="auto"/>
                    <w:left w:val="none" w:sz="0" w:space="0" w:color="auto"/>
                    <w:bottom w:val="none" w:sz="0" w:space="0" w:color="auto"/>
                    <w:right w:val="none" w:sz="0" w:space="0" w:color="auto"/>
                  </w:divBdr>
                </w:div>
              </w:divsChild>
            </w:div>
            <w:div w:id="797649837">
              <w:marLeft w:val="0"/>
              <w:marRight w:val="0"/>
              <w:marTop w:val="0"/>
              <w:marBottom w:val="0"/>
              <w:divBdr>
                <w:top w:val="none" w:sz="0" w:space="0" w:color="auto"/>
                <w:left w:val="none" w:sz="0" w:space="0" w:color="auto"/>
                <w:bottom w:val="none" w:sz="0" w:space="0" w:color="auto"/>
                <w:right w:val="none" w:sz="0" w:space="0" w:color="auto"/>
              </w:divBdr>
              <w:divsChild>
                <w:div w:id="551157846">
                  <w:marLeft w:val="0"/>
                  <w:marRight w:val="0"/>
                  <w:marTop w:val="0"/>
                  <w:marBottom w:val="0"/>
                  <w:divBdr>
                    <w:top w:val="none" w:sz="0" w:space="0" w:color="auto"/>
                    <w:left w:val="none" w:sz="0" w:space="0" w:color="auto"/>
                    <w:bottom w:val="none" w:sz="0" w:space="0" w:color="auto"/>
                    <w:right w:val="none" w:sz="0" w:space="0" w:color="auto"/>
                  </w:divBdr>
                </w:div>
                <w:div w:id="1844663553">
                  <w:marLeft w:val="0"/>
                  <w:marRight w:val="0"/>
                  <w:marTop w:val="0"/>
                  <w:marBottom w:val="0"/>
                  <w:divBdr>
                    <w:top w:val="none" w:sz="0" w:space="0" w:color="auto"/>
                    <w:left w:val="none" w:sz="0" w:space="0" w:color="auto"/>
                    <w:bottom w:val="none" w:sz="0" w:space="0" w:color="auto"/>
                    <w:right w:val="none" w:sz="0" w:space="0" w:color="auto"/>
                  </w:divBdr>
                </w:div>
              </w:divsChild>
            </w:div>
            <w:div w:id="913710413">
              <w:marLeft w:val="0"/>
              <w:marRight w:val="0"/>
              <w:marTop w:val="0"/>
              <w:marBottom w:val="0"/>
              <w:divBdr>
                <w:top w:val="none" w:sz="0" w:space="0" w:color="auto"/>
                <w:left w:val="none" w:sz="0" w:space="0" w:color="auto"/>
                <w:bottom w:val="none" w:sz="0" w:space="0" w:color="auto"/>
                <w:right w:val="none" w:sz="0" w:space="0" w:color="auto"/>
              </w:divBdr>
              <w:divsChild>
                <w:div w:id="1798378559">
                  <w:marLeft w:val="0"/>
                  <w:marRight w:val="0"/>
                  <w:marTop w:val="0"/>
                  <w:marBottom w:val="0"/>
                  <w:divBdr>
                    <w:top w:val="none" w:sz="0" w:space="0" w:color="auto"/>
                    <w:left w:val="none" w:sz="0" w:space="0" w:color="auto"/>
                    <w:bottom w:val="none" w:sz="0" w:space="0" w:color="auto"/>
                    <w:right w:val="none" w:sz="0" w:space="0" w:color="auto"/>
                  </w:divBdr>
                </w:div>
              </w:divsChild>
            </w:div>
            <w:div w:id="970743589">
              <w:marLeft w:val="0"/>
              <w:marRight w:val="0"/>
              <w:marTop w:val="0"/>
              <w:marBottom w:val="0"/>
              <w:divBdr>
                <w:top w:val="none" w:sz="0" w:space="0" w:color="auto"/>
                <w:left w:val="none" w:sz="0" w:space="0" w:color="auto"/>
                <w:bottom w:val="none" w:sz="0" w:space="0" w:color="auto"/>
                <w:right w:val="none" w:sz="0" w:space="0" w:color="auto"/>
              </w:divBdr>
              <w:divsChild>
                <w:div w:id="766195050">
                  <w:marLeft w:val="0"/>
                  <w:marRight w:val="0"/>
                  <w:marTop w:val="0"/>
                  <w:marBottom w:val="0"/>
                  <w:divBdr>
                    <w:top w:val="none" w:sz="0" w:space="0" w:color="auto"/>
                    <w:left w:val="none" w:sz="0" w:space="0" w:color="auto"/>
                    <w:bottom w:val="none" w:sz="0" w:space="0" w:color="auto"/>
                    <w:right w:val="none" w:sz="0" w:space="0" w:color="auto"/>
                  </w:divBdr>
                </w:div>
              </w:divsChild>
            </w:div>
            <w:div w:id="1045637233">
              <w:marLeft w:val="0"/>
              <w:marRight w:val="0"/>
              <w:marTop w:val="0"/>
              <w:marBottom w:val="0"/>
              <w:divBdr>
                <w:top w:val="none" w:sz="0" w:space="0" w:color="auto"/>
                <w:left w:val="none" w:sz="0" w:space="0" w:color="auto"/>
                <w:bottom w:val="none" w:sz="0" w:space="0" w:color="auto"/>
                <w:right w:val="none" w:sz="0" w:space="0" w:color="auto"/>
              </w:divBdr>
              <w:divsChild>
                <w:div w:id="1528057207">
                  <w:marLeft w:val="0"/>
                  <w:marRight w:val="0"/>
                  <w:marTop w:val="0"/>
                  <w:marBottom w:val="0"/>
                  <w:divBdr>
                    <w:top w:val="none" w:sz="0" w:space="0" w:color="auto"/>
                    <w:left w:val="none" w:sz="0" w:space="0" w:color="auto"/>
                    <w:bottom w:val="none" w:sz="0" w:space="0" w:color="auto"/>
                    <w:right w:val="none" w:sz="0" w:space="0" w:color="auto"/>
                  </w:divBdr>
                </w:div>
                <w:div w:id="2034305149">
                  <w:marLeft w:val="0"/>
                  <w:marRight w:val="0"/>
                  <w:marTop w:val="0"/>
                  <w:marBottom w:val="0"/>
                  <w:divBdr>
                    <w:top w:val="none" w:sz="0" w:space="0" w:color="auto"/>
                    <w:left w:val="none" w:sz="0" w:space="0" w:color="auto"/>
                    <w:bottom w:val="none" w:sz="0" w:space="0" w:color="auto"/>
                    <w:right w:val="none" w:sz="0" w:space="0" w:color="auto"/>
                  </w:divBdr>
                </w:div>
              </w:divsChild>
            </w:div>
            <w:div w:id="1157575680">
              <w:marLeft w:val="0"/>
              <w:marRight w:val="0"/>
              <w:marTop w:val="0"/>
              <w:marBottom w:val="0"/>
              <w:divBdr>
                <w:top w:val="none" w:sz="0" w:space="0" w:color="auto"/>
                <w:left w:val="none" w:sz="0" w:space="0" w:color="auto"/>
                <w:bottom w:val="none" w:sz="0" w:space="0" w:color="auto"/>
                <w:right w:val="none" w:sz="0" w:space="0" w:color="auto"/>
              </w:divBdr>
              <w:divsChild>
                <w:div w:id="1888955046">
                  <w:marLeft w:val="0"/>
                  <w:marRight w:val="0"/>
                  <w:marTop w:val="0"/>
                  <w:marBottom w:val="0"/>
                  <w:divBdr>
                    <w:top w:val="none" w:sz="0" w:space="0" w:color="auto"/>
                    <w:left w:val="none" w:sz="0" w:space="0" w:color="auto"/>
                    <w:bottom w:val="none" w:sz="0" w:space="0" w:color="auto"/>
                    <w:right w:val="none" w:sz="0" w:space="0" w:color="auto"/>
                  </w:divBdr>
                </w:div>
              </w:divsChild>
            </w:div>
            <w:div w:id="1226918681">
              <w:marLeft w:val="0"/>
              <w:marRight w:val="0"/>
              <w:marTop w:val="0"/>
              <w:marBottom w:val="0"/>
              <w:divBdr>
                <w:top w:val="none" w:sz="0" w:space="0" w:color="auto"/>
                <w:left w:val="none" w:sz="0" w:space="0" w:color="auto"/>
                <w:bottom w:val="none" w:sz="0" w:space="0" w:color="auto"/>
                <w:right w:val="none" w:sz="0" w:space="0" w:color="auto"/>
              </w:divBdr>
              <w:divsChild>
                <w:div w:id="520704285">
                  <w:marLeft w:val="0"/>
                  <w:marRight w:val="0"/>
                  <w:marTop w:val="0"/>
                  <w:marBottom w:val="0"/>
                  <w:divBdr>
                    <w:top w:val="none" w:sz="0" w:space="0" w:color="auto"/>
                    <w:left w:val="none" w:sz="0" w:space="0" w:color="auto"/>
                    <w:bottom w:val="none" w:sz="0" w:space="0" w:color="auto"/>
                    <w:right w:val="none" w:sz="0" w:space="0" w:color="auto"/>
                  </w:divBdr>
                </w:div>
                <w:div w:id="1773163891">
                  <w:marLeft w:val="0"/>
                  <w:marRight w:val="0"/>
                  <w:marTop w:val="0"/>
                  <w:marBottom w:val="0"/>
                  <w:divBdr>
                    <w:top w:val="none" w:sz="0" w:space="0" w:color="auto"/>
                    <w:left w:val="none" w:sz="0" w:space="0" w:color="auto"/>
                    <w:bottom w:val="none" w:sz="0" w:space="0" w:color="auto"/>
                    <w:right w:val="none" w:sz="0" w:space="0" w:color="auto"/>
                  </w:divBdr>
                </w:div>
              </w:divsChild>
            </w:div>
            <w:div w:id="1323894560">
              <w:marLeft w:val="0"/>
              <w:marRight w:val="0"/>
              <w:marTop w:val="0"/>
              <w:marBottom w:val="0"/>
              <w:divBdr>
                <w:top w:val="none" w:sz="0" w:space="0" w:color="auto"/>
                <w:left w:val="none" w:sz="0" w:space="0" w:color="auto"/>
                <w:bottom w:val="none" w:sz="0" w:space="0" w:color="auto"/>
                <w:right w:val="none" w:sz="0" w:space="0" w:color="auto"/>
              </w:divBdr>
              <w:divsChild>
                <w:div w:id="1794984220">
                  <w:marLeft w:val="0"/>
                  <w:marRight w:val="0"/>
                  <w:marTop w:val="0"/>
                  <w:marBottom w:val="0"/>
                  <w:divBdr>
                    <w:top w:val="none" w:sz="0" w:space="0" w:color="auto"/>
                    <w:left w:val="none" w:sz="0" w:space="0" w:color="auto"/>
                    <w:bottom w:val="none" w:sz="0" w:space="0" w:color="auto"/>
                    <w:right w:val="none" w:sz="0" w:space="0" w:color="auto"/>
                  </w:divBdr>
                </w:div>
              </w:divsChild>
            </w:div>
            <w:div w:id="1348021521">
              <w:marLeft w:val="0"/>
              <w:marRight w:val="0"/>
              <w:marTop w:val="0"/>
              <w:marBottom w:val="0"/>
              <w:divBdr>
                <w:top w:val="none" w:sz="0" w:space="0" w:color="auto"/>
                <w:left w:val="none" w:sz="0" w:space="0" w:color="auto"/>
                <w:bottom w:val="none" w:sz="0" w:space="0" w:color="auto"/>
                <w:right w:val="none" w:sz="0" w:space="0" w:color="auto"/>
              </w:divBdr>
              <w:divsChild>
                <w:div w:id="20072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385222166">
          <w:marLeft w:val="1080"/>
          <w:marRight w:val="0"/>
          <w:marTop w:val="100"/>
          <w:marBottom w:val="160"/>
          <w:divBdr>
            <w:top w:val="none" w:sz="0" w:space="0" w:color="auto"/>
            <w:left w:val="none" w:sz="0" w:space="0" w:color="auto"/>
            <w:bottom w:val="none" w:sz="0" w:space="0" w:color="auto"/>
            <w:right w:val="none" w:sz="0" w:space="0" w:color="auto"/>
          </w:divBdr>
        </w:div>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469059159">
      <w:bodyDiv w:val="1"/>
      <w:marLeft w:val="0"/>
      <w:marRight w:val="0"/>
      <w:marTop w:val="0"/>
      <w:marBottom w:val="0"/>
      <w:divBdr>
        <w:top w:val="none" w:sz="0" w:space="0" w:color="auto"/>
        <w:left w:val="none" w:sz="0" w:space="0" w:color="auto"/>
        <w:bottom w:val="none" w:sz="0" w:space="0" w:color="auto"/>
        <w:right w:val="none" w:sz="0" w:space="0" w:color="auto"/>
      </w:divBdr>
    </w:div>
    <w:div w:id="539056226">
      <w:bodyDiv w:val="1"/>
      <w:marLeft w:val="0"/>
      <w:marRight w:val="0"/>
      <w:marTop w:val="0"/>
      <w:marBottom w:val="0"/>
      <w:divBdr>
        <w:top w:val="none" w:sz="0" w:space="0" w:color="auto"/>
        <w:left w:val="none" w:sz="0" w:space="0" w:color="auto"/>
        <w:bottom w:val="none" w:sz="0" w:space="0" w:color="auto"/>
        <w:right w:val="none" w:sz="0" w:space="0" w:color="auto"/>
      </w:divBdr>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661398081">
          <w:marLeft w:val="360"/>
          <w:marRight w:val="0"/>
          <w:marTop w:val="200"/>
          <w:marBottom w:val="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2103060350">
          <w:marLeft w:val="360"/>
          <w:marRight w:val="0"/>
          <w:marTop w:val="200"/>
          <w:marBottom w:val="16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11645713">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064521443">
      <w:bodyDiv w:val="1"/>
      <w:marLeft w:val="0"/>
      <w:marRight w:val="0"/>
      <w:marTop w:val="0"/>
      <w:marBottom w:val="0"/>
      <w:divBdr>
        <w:top w:val="none" w:sz="0" w:space="0" w:color="auto"/>
        <w:left w:val="none" w:sz="0" w:space="0" w:color="auto"/>
        <w:bottom w:val="none" w:sz="0" w:space="0" w:color="auto"/>
        <w:right w:val="none" w:sz="0" w:space="0" w:color="auto"/>
      </w:divBdr>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186867941">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82378867">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097676646">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1195532">
          <w:marLeft w:val="360"/>
          <w:marRight w:val="0"/>
          <w:marTop w:val="200"/>
          <w:marBottom w:val="160"/>
          <w:divBdr>
            <w:top w:val="none" w:sz="0" w:space="0" w:color="auto"/>
            <w:left w:val="none" w:sz="0" w:space="0" w:color="auto"/>
            <w:bottom w:val="none" w:sz="0" w:space="0" w:color="auto"/>
            <w:right w:val="none" w:sz="0" w:space="0" w:color="auto"/>
          </w:divBdr>
        </w:div>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sChild>
    </w:div>
    <w:div w:id="1410614482">
      <w:bodyDiv w:val="1"/>
      <w:marLeft w:val="0"/>
      <w:marRight w:val="0"/>
      <w:marTop w:val="0"/>
      <w:marBottom w:val="0"/>
      <w:divBdr>
        <w:top w:val="none" w:sz="0" w:space="0" w:color="auto"/>
        <w:left w:val="none" w:sz="0" w:space="0" w:color="auto"/>
        <w:bottom w:val="none" w:sz="0" w:space="0" w:color="auto"/>
        <w:right w:val="none" w:sz="0" w:space="0" w:color="auto"/>
      </w:divBdr>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627393577">
      <w:bodyDiv w:val="1"/>
      <w:marLeft w:val="0"/>
      <w:marRight w:val="0"/>
      <w:marTop w:val="0"/>
      <w:marBottom w:val="0"/>
      <w:divBdr>
        <w:top w:val="none" w:sz="0" w:space="0" w:color="auto"/>
        <w:left w:val="none" w:sz="0" w:space="0" w:color="auto"/>
        <w:bottom w:val="none" w:sz="0" w:space="0" w:color="auto"/>
        <w:right w:val="none" w:sz="0" w:space="0" w:color="auto"/>
      </w:divBdr>
    </w:div>
    <w:div w:id="1690834213">
      <w:bodyDiv w:val="1"/>
      <w:marLeft w:val="0"/>
      <w:marRight w:val="0"/>
      <w:marTop w:val="0"/>
      <w:marBottom w:val="0"/>
      <w:divBdr>
        <w:top w:val="none" w:sz="0" w:space="0" w:color="auto"/>
        <w:left w:val="none" w:sz="0" w:space="0" w:color="auto"/>
        <w:bottom w:val="none" w:sz="0" w:space="0" w:color="auto"/>
        <w:right w:val="none" w:sz="0" w:space="0" w:color="auto"/>
      </w:divBdr>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 w:id="2096591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cboard.hscni.net/" TargetMode="External"/><Relationship Id="rId18" Type="http://schemas.openxmlformats.org/officeDocument/2006/relationships/hyperlink" Target="https://www.gov.scot/binaries/content/documents/govscot/publications/strategy-plan/2023/06/self-directed-support-improvement-plan-20232027/documents/self-directed-support-improvement-plan-2023-27/self-directed-support-improvement-plan-2023-27/govscot%253Adocument/self-directed-support-improvement-plan-2023-27.pdf" TargetMode="External"/><Relationship Id="rId26" Type="http://schemas.openxmlformats.org/officeDocument/2006/relationships/hyperlink" Target="https://link-springer-com.bham-ezproxy.idm.oclc.org/article/10.1007/s11136-025-03958-3" TargetMode="External"/><Relationship Id="rId39" Type="http://schemas.openxmlformats.org/officeDocument/2006/relationships/hyperlink" Target="https://www.pssru.ac.uk/ascot/" TargetMode="External"/><Relationship Id="rId3" Type="http://schemas.openxmlformats.org/officeDocument/2006/relationships/customXml" Target="../customXml/item3.xml"/><Relationship Id="rId21" Type="http://schemas.openxmlformats.org/officeDocument/2006/relationships/hyperlink" Target="https://www.who.int/tools/whoqol" TargetMode="External"/><Relationship Id="rId34" Type="http://schemas.openxmlformats.org/officeDocument/2006/relationships/hyperlink" Target="http://www.pssru.ac.uk/ascot/ascot-workforce" TargetMode="External"/><Relationship Id="rId42" Type="http://schemas.openxmlformats.org/officeDocument/2006/relationships/hyperlink" Target="https://research.kent.ac.uk/ascot/wp-content/uploads/sites/2976/2025/08/ASCOT-SCT4-v2.3_watermark.pdf"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ni.gov.uk/publications/health-and-social-care-outcomes-framework" TargetMode="External"/><Relationship Id="rId17" Type="http://schemas.openxmlformats.org/officeDocument/2006/relationships/hyperlink" Target="https://www.gov.scot/publications/self-directed-support-practitioners-guidance/" TargetMode="External"/><Relationship Id="rId25" Type="http://schemas.openxmlformats.org/officeDocument/2006/relationships/hyperlink" Target="https://link-springer-com.bham-ezproxy.idm.oclc.org/article/10.1007/s11136-025-03958-3" TargetMode="External"/><Relationship Id="rId33" Type="http://schemas.openxmlformats.org/officeDocument/2006/relationships/hyperlink" Target="https://link-springer-com.bham-ezproxy.idm.oclc.org/article/10.1007/s11136-025-03958-3" TargetMode="External"/><Relationship Id="rId38" Type="http://schemas.openxmlformats.org/officeDocument/2006/relationships/hyperlink" Target="https://link-springer-com.bham-ezproxy.idm.oclc.org/article/10.1007/s11136-025-03958-3"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77/02610183231158644" TargetMode="External"/><Relationship Id="rId20" Type="http://schemas.openxmlformats.org/officeDocument/2006/relationships/hyperlink" Target="https://doi.org/10.1111/j.1467-9515.2009.00670.x" TargetMode="External"/><Relationship Id="rId29" Type="http://schemas.openxmlformats.org/officeDocument/2006/relationships/hyperlink" Target="https://link-springer-com.bham-ezproxy.idm.oclc.org/article/10.1007/s11136-025-03958-3/tables/1" TargetMode="External"/><Relationship Id="rId41" Type="http://schemas.openxmlformats.org/officeDocument/2006/relationships/hyperlink" Target="https://cdn.who.int/media/docs/default-source/publishing-policies/whoqol-bref/english_whoqol_bref.pdf?sfvrsn=3facbb3b_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qc.org.uk/guidance-providers/social-care/direct-payments-personal-budgets-guide-providers" TargetMode="External"/><Relationship Id="rId24" Type="http://schemas.openxmlformats.org/officeDocument/2006/relationships/hyperlink" Target="https://link-springer-com.bham-ezproxy.idm.oclc.org/article/10.1007/s11136-025-03958-3" TargetMode="External"/><Relationship Id="rId32" Type="http://schemas.openxmlformats.org/officeDocument/2006/relationships/hyperlink" Target="https://link-springer-com.bham-ezproxy.idm.oclc.org/article/10.1007/s11136-025-03958-3" TargetMode="External"/><Relationship Id="rId37" Type="http://schemas.openxmlformats.org/officeDocument/2006/relationships/hyperlink" Target="https://link-springer-com.bham-ezproxy.idm.oclc.org/article/10.1007/s11136-025-03958-3" TargetMode="External"/><Relationship Id="rId40" Type="http://schemas.openxmlformats.org/officeDocument/2006/relationships/hyperlink" Target="https://puttingpeoplefirst.limeask.com/218141"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 TargetMode="External"/><Relationship Id="rId23" Type="http://schemas.openxmlformats.org/officeDocument/2006/relationships/hyperlink" Target="https://link-springer-com.bham-ezproxy.idm.oclc.org/article/10.1007/s11136-025-03958-3" TargetMode="External"/><Relationship Id="rId28" Type="http://schemas.openxmlformats.org/officeDocument/2006/relationships/hyperlink" Target="https://link-springer-com.bham-ezproxy.idm.oclc.org/article/10.1007/s11136-025-03958-3/tables/1" TargetMode="External"/><Relationship Id="rId36" Type="http://schemas.openxmlformats.org/officeDocument/2006/relationships/hyperlink" Target="https://link-springer-com.bham-ezproxy.idm.oclc.org/article/10.1007/s11136-025-03958-3" TargetMode="External"/><Relationship Id="rId10" Type="http://schemas.openxmlformats.org/officeDocument/2006/relationships/endnotes" Target="endnotes.xml"/><Relationship Id="rId19" Type="http://schemas.openxmlformats.org/officeDocument/2006/relationships/hyperlink" Target="https://socialworkscotland.org/" TargetMode="External"/><Relationship Id="rId31" Type="http://schemas.openxmlformats.org/officeDocument/2006/relationships/hyperlink" Target="https://link-springer-com.bham-ezproxy.idm.oclc.org/article/10.1007/s11136-025-03958-3"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assembly.gov.uk/globalassets/documents/raise/publications/2017-2022/2021/executive-office/0221.pdf" TargetMode="External"/><Relationship Id="rId22" Type="http://schemas.openxmlformats.org/officeDocument/2006/relationships/hyperlink" Target="https://link-springer-com.bham-ezproxy.idm.oclc.org/article/10.1007/s11136-025-03958-3" TargetMode="External"/><Relationship Id="rId27" Type="http://schemas.openxmlformats.org/officeDocument/2006/relationships/hyperlink" Target="https://link-springer-com.bham-ezproxy.idm.oclc.org/article/10.1007/s11136-025-03958-3/tables/1" TargetMode="External"/><Relationship Id="rId30" Type="http://schemas.openxmlformats.org/officeDocument/2006/relationships/hyperlink" Target="https://link-springer-com.bham-ezproxy.idm.oclc.org/article/10.1007/s11136-025-03958-3/tables/1" TargetMode="External"/><Relationship Id="rId35" Type="http://schemas.openxmlformats.org/officeDocument/2006/relationships/hyperlink" Target="https://link-springer-com.bham-ezproxy.idm.oclc.org/article/10.1007/s11136-025-03958-3" TargetMode="External"/><Relationship Id="rId43" Type="http://schemas.openxmlformats.org/officeDocument/2006/relationships/hyperlink" Target="https://eprovide.mapi-trust.org/instruments/client-centred-care%20questionnai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9" ma:contentTypeDescription="Create a new document." ma:contentTypeScope="" ma:versionID="3209b467d0767362b7db7f7282e18c7b">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5f46be49ccbb4dae5b89e2776f50992"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e182d-f828-49d8-b225-823d95a6369c">
      <Terms xmlns="http://schemas.microsoft.com/office/infopath/2007/PartnerControls"/>
    </lcf76f155ced4ddcb4097134ff3c332f>
    <SharedWithUsers xmlns="a246c91f-ae64-48a8-a946-abb5de09178e">
      <UserInfo>
        <DisplayName>Benjamin Cuffin-Munday (Social Work and Social Care)</DisplayName>
        <AccountId>145</AccountId>
        <AccountType/>
      </UserInfo>
    </SharedWithUsers>
    <MediaLengthInSeconds xmlns="932e182d-f828-49d8-b225-823d95a6369c" xsi:nil="true"/>
    <TaxCatchAll xmlns="a246c91f-ae64-48a8-a946-abb5de0917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FB62C-6217-4CB5-B2F4-2EA5D761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932e182d-f828-49d8-b225-823d95a6369c"/>
    <ds:schemaRef ds:uri="a246c91f-ae64-48a8-a946-abb5de09178e"/>
  </ds:schemaRefs>
</ds:datastoreItem>
</file>

<file path=customXml/itemProps3.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4.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 id="{b024cacf-dede-4241-a15c-3c97d553e9f3}" enabled="0" method="" siteId="{b024cacf-dede-4241-a15c-3c97d553e9f3}" removed="1"/>
</clbl:labelList>
</file>

<file path=docProps/app.xml><?xml version="1.0" encoding="utf-8"?>
<Properties xmlns="http://schemas.openxmlformats.org/officeDocument/2006/extended-properties" xmlns:vt="http://schemas.openxmlformats.org/officeDocument/2006/docPropsVTypes">
  <Template>Normal.dotm</Template>
  <TotalTime>537</TotalTime>
  <Pages>30</Pages>
  <Words>10420</Words>
  <Characters>59399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Munpreet K Flora</cp:lastModifiedBy>
  <cp:revision>164</cp:revision>
  <dcterms:created xsi:type="dcterms:W3CDTF">2025-09-04T14:22:00Z</dcterms:created>
  <dcterms:modified xsi:type="dcterms:W3CDTF">2026-01-28T13:56:00Z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0x010100A232B5D162DEB743A6DCB42E4D80BDAB</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