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77777777" w:rsidR="00324401" w:rsidRDefault="00324401" w:rsidP="00CF2923">
      <w:pPr>
        <w:pStyle w:val="Title"/>
        <w:spacing w:after="0"/>
      </w:pPr>
    </w:p>
    <w:p w14:paraId="1D2ED5A0" w14:textId="77777777" w:rsidR="00324401" w:rsidRDefault="00324401" w:rsidP="00CF2923">
      <w:pPr>
        <w:pStyle w:val="Title"/>
        <w:spacing w:after="0"/>
      </w:pPr>
    </w:p>
    <w:p w14:paraId="52D1889B" w14:textId="77777777" w:rsidR="00324401" w:rsidRDefault="00324401" w:rsidP="00CF2923">
      <w:pPr>
        <w:pStyle w:val="Title"/>
        <w:spacing w:after="0"/>
      </w:pPr>
    </w:p>
    <w:p w14:paraId="0333E26B" w14:textId="77777777" w:rsidR="00324401" w:rsidRDefault="00324401" w:rsidP="00CF2923">
      <w:pPr>
        <w:pStyle w:val="Title"/>
        <w:spacing w:after="0"/>
      </w:pPr>
    </w:p>
    <w:p w14:paraId="28D4FCD3" w14:textId="77777777" w:rsidR="00324401" w:rsidRDefault="00324401" w:rsidP="00CF2923">
      <w:pPr>
        <w:pStyle w:val="Title"/>
        <w:spacing w:after="0"/>
      </w:pPr>
    </w:p>
    <w:p w14:paraId="3182938B" w14:textId="77777777" w:rsidR="00F82650" w:rsidRPr="00BC1A68" w:rsidRDefault="00F82650" w:rsidP="00BC1A68">
      <w:pPr>
        <w:pStyle w:val="Title"/>
        <w:rPr>
          <w:rStyle w:val="Strong"/>
          <w:b/>
          <w:bCs/>
        </w:rPr>
      </w:pPr>
      <w:r w:rsidRPr="00BC1A68">
        <w:rPr>
          <w:rStyle w:val="Strong"/>
          <w:b/>
          <w:bCs/>
        </w:rPr>
        <w:t xml:space="preserve">Direct Payments in Adult Social Care: </w:t>
      </w:r>
    </w:p>
    <w:p w14:paraId="6692D44E" w14:textId="77777777" w:rsidR="00F82650" w:rsidRPr="00BC1A68" w:rsidRDefault="00F82650" w:rsidP="00BC1A68">
      <w:pPr>
        <w:pStyle w:val="Title"/>
        <w:rPr>
          <w:rStyle w:val="Strong"/>
          <w:b/>
          <w:bCs/>
        </w:rPr>
      </w:pPr>
    </w:p>
    <w:p w14:paraId="14E56012" w14:textId="696469B0" w:rsidR="00DC2FDA" w:rsidRPr="00BC1A68" w:rsidRDefault="00F82650" w:rsidP="00BC1A68">
      <w:pPr>
        <w:pStyle w:val="Title"/>
      </w:pPr>
      <w:r w:rsidRPr="00BC1A68">
        <w:rPr>
          <w:rStyle w:val="Strong"/>
          <w:b/>
          <w:bCs/>
        </w:rPr>
        <w:t>An Evidence Review of System, Workforce and Practice Enablers</w:t>
      </w:r>
    </w:p>
    <w:p w14:paraId="3EA35EE4" w14:textId="1201E554" w:rsidR="00DC2FDA" w:rsidRDefault="00DC2FDA" w:rsidP="00F82650">
      <w:pPr>
        <w:spacing w:after="0" w:line="360" w:lineRule="auto"/>
        <w:rPr>
          <w:rFonts w:ascii="Arial" w:hAnsi="Arial" w:cs="Arial"/>
          <w:b/>
          <w:bCs/>
          <w:sz w:val="40"/>
          <w:szCs w:val="40"/>
        </w:rPr>
      </w:pPr>
    </w:p>
    <w:p w14:paraId="066A478E" w14:textId="53B670A2" w:rsidR="002F0D93" w:rsidRPr="00F82650" w:rsidRDefault="002F0D93" w:rsidP="00CF2923">
      <w:pPr>
        <w:spacing w:after="0" w:line="360" w:lineRule="auto"/>
        <w:jc w:val="center"/>
        <w:rPr>
          <w:rFonts w:ascii="Arial" w:hAnsi="Arial" w:cs="Arial"/>
          <w:b/>
          <w:bCs/>
          <w:sz w:val="24"/>
          <w:szCs w:val="24"/>
        </w:rPr>
      </w:pPr>
      <w:r w:rsidRPr="00F82650">
        <w:rPr>
          <w:rFonts w:ascii="Arial" w:hAnsi="Arial" w:cs="Arial"/>
          <w:b/>
          <w:bCs/>
          <w:sz w:val="24"/>
          <w:szCs w:val="24"/>
        </w:rPr>
        <w:t>IMPACT</w:t>
      </w:r>
      <w:r w:rsidR="00CF2923" w:rsidRPr="00F82650">
        <w:rPr>
          <w:rFonts w:ascii="Arial" w:hAnsi="Arial" w:cs="Arial"/>
          <w:b/>
          <w:bCs/>
          <w:sz w:val="24"/>
          <w:szCs w:val="24"/>
        </w:rPr>
        <w:t xml:space="preserve"> </w:t>
      </w:r>
      <w:r w:rsidR="00C44CB8" w:rsidRPr="00F82650">
        <w:rPr>
          <w:rFonts w:ascii="Arial" w:hAnsi="Arial" w:cs="Arial"/>
          <w:b/>
          <w:bCs/>
          <w:sz w:val="24"/>
          <w:szCs w:val="24"/>
        </w:rPr>
        <w:t>Demonstrator</w:t>
      </w:r>
      <w:r w:rsidR="00CF2923" w:rsidRPr="00F82650">
        <w:rPr>
          <w:rFonts w:ascii="Arial" w:hAnsi="Arial" w:cs="Arial"/>
          <w:b/>
          <w:bCs/>
          <w:sz w:val="24"/>
          <w:szCs w:val="24"/>
        </w:rPr>
        <w:t xml:space="preserve">, </w:t>
      </w:r>
      <w:r w:rsidR="00481782" w:rsidRPr="00F82650">
        <w:rPr>
          <w:rFonts w:ascii="Arial" w:hAnsi="Arial" w:cs="Arial"/>
          <w:b/>
          <w:bCs/>
          <w:sz w:val="24"/>
          <w:szCs w:val="24"/>
        </w:rPr>
        <w:t xml:space="preserve">England </w:t>
      </w:r>
    </w:p>
    <w:p w14:paraId="67344074" w14:textId="77777777" w:rsidR="00CF2923" w:rsidRPr="00F82650" w:rsidRDefault="00CF2923" w:rsidP="00CF2923">
      <w:pPr>
        <w:spacing w:after="0" w:line="360" w:lineRule="auto"/>
        <w:jc w:val="center"/>
        <w:rPr>
          <w:rFonts w:ascii="Arial" w:hAnsi="Arial" w:cs="Arial"/>
          <w:b/>
          <w:bCs/>
          <w:sz w:val="24"/>
          <w:szCs w:val="24"/>
        </w:rPr>
      </w:pPr>
    </w:p>
    <w:p w14:paraId="7FFB757B" w14:textId="6FE47849" w:rsidR="00CD02FD" w:rsidRPr="00F82650" w:rsidRDefault="00F82650" w:rsidP="00CF2923">
      <w:pPr>
        <w:spacing w:after="0" w:line="360" w:lineRule="auto"/>
        <w:jc w:val="center"/>
        <w:rPr>
          <w:rFonts w:ascii="Arial" w:hAnsi="Arial" w:cs="Arial"/>
          <w:b/>
          <w:bCs/>
          <w:sz w:val="24"/>
          <w:szCs w:val="24"/>
        </w:rPr>
      </w:pPr>
      <w:r w:rsidRPr="00F82650">
        <w:rPr>
          <w:rFonts w:ascii="Arial" w:hAnsi="Arial" w:cs="Arial"/>
          <w:b/>
          <w:bCs/>
          <w:sz w:val="24"/>
          <w:szCs w:val="24"/>
        </w:rPr>
        <w:t>Obert Tawodzera</w:t>
      </w:r>
    </w:p>
    <w:p w14:paraId="4E331279" w14:textId="77777777" w:rsidR="00CF2923" w:rsidRPr="00F82650" w:rsidRDefault="00CF2923" w:rsidP="00CF2923">
      <w:pPr>
        <w:spacing w:after="0" w:line="360" w:lineRule="auto"/>
        <w:jc w:val="center"/>
        <w:rPr>
          <w:rFonts w:ascii="Arial" w:hAnsi="Arial" w:cs="Arial"/>
          <w:b/>
          <w:bCs/>
          <w:sz w:val="24"/>
          <w:szCs w:val="24"/>
        </w:rPr>
      </w:pPr>
    </w:p>
    <w:p w14:paraId="6DC78CF9" w14:textId="2532BA13" w:rsidR="00BB6DAA" w:rsidRPr="00F82650" w:rsidRDefault="00E605FF" w:rsidP="00CF2923">
      <w:pPr>
        <w:spacing w:after="0" w:line="360" w:lineRule="auto"/>
        <w:jc w:val="center"/>
        <w:rPr>
          <w:rFonts w:ascii="Arial" w:hAnsi="Arial" w:cs="Arial"/>
          <w:b/>
          <w:bCs/>
          <w:sz w:val="24"/>
          <w:szCs w:val="24"/>
        </w:rPr>
      </w:pPr>
      <w:r w:rsidRPr="00F82650">
        <w:rPr>
          <w:rFonts w:ascii="Arial" w:hAnsi="Arial" w:cs="Arial"/>
          <w:b/>
          <w:bCs/>
          <w:sz w:val="24"/>
          <w:szCs w:val="24"/>
        </w:rPr>
        <w:t>August</w:t>
      </w:r>
      <w:r w:rsidR="00481782" w:rsidRPr="00F82650">
        <w:rPr>
          <w:rFonts w:ascii="Arial" w:hAnsi="Arial" w:cs="Arial"/>
          <w:b/>
          <w:bCs/>
          <w:sz w:val="24"/>
          <w:szCs w:val="24"/>
        </w:rPr>
        <w:t xml:space="preserve"> 202</w:t>
      </w:r>
      <w:r w:rsidR="00F82650" w:rsidRPr="00F82650">
        <w:rPr>
          <w:rFonts w:ascii="Arial" w:hAnsi="Arial" w:cs="Arial"/>
          <w:b/>
          <w:bCs/>
          <w:sz w:val="24"/>
          <w:szCs w:val="24"/>
        </w:rPr>
        <w:t>5</w:t>
      </w:r>
    </w:p>
    <w:p w14:paraId="4604E9C6" w14:textId="62D44294" w:rsidR="005D5843" w:rsidRDefault="005D5843" w:rsidP="00F82650">
      <w:pPr>
        <w:spacing w:after="0"/>
        <w:rPr>
          <w:rFonts w:ascii="Arial" w:hAnsi="Arial" w:cs="Arial"/>
          <w:b/>
          <w:bCs/>
          <w:sz w:val="40"/>
          <w:szCs w:val="40"/>
        </w:rPr>
      </w:pPr>
    </w:p>
    <w:p w14:paraId="040B164A" w14:textId="3862C54A" w:rsidR="00F82650" w:rsidRDefault="00F82650" w:rsidP="00F82650">
      <w:pPr>
        <w:spacing w:after="0"/>
        <w:rPr>
          <w:rFonts w:ascii="Arial" w:hAnsi="Arial" w:cs="Arial"/>
          <w:b/>
          <w:bCs/>
          <w:sz w:val="40"/>
          <w:szCs w:val="40"/>
        </w:rPr>
      </w:pPr>
    </w:p>
    <w:p w14:paraId="40376865" w14:textId="28ACD398" w:rsidR="00F82650" w:rsidRDefault="00F82650" w:rsidP="00F82650">
      <w:pPr>
        <w:spacing w:after="0"/>
        <w:rPr>
          <w:rFonts w:ascii="Arial" w:hAnsi="Arial" w:cs="Arial"/>
          <w:b/>
          <w:bCs/>
          <w:sz w:val="40"/>
          <w:szCs w:val="40"/>
        </w:rPr>
      </w:pPr>
    </w:p>
    <w:p w14:paraId="093E2D16" w14:textId="315467AE" w:rsidR="00F82650" w:rsidRDefault="00F82650" w:rsidP="00F82650">
      <w:pPr>
        <w:spacing w:after="0"/>
        <w:rPr>
          <w:rFonts w:ascii="Arial" w:hAnsi="Arial" w:cs="Arial"/>
          <w:b/>
          <w:bCs/>
          <w:sz w:val="40"/>
          <w:szCs w:val="40"/>
        </w:rPr>
      </w:pPr>
    </w:p>
    <w:p w14:paraId="0E1A4B04" w14:textId="21BC92E6" w:rsidR="00F82650" w:rsidRDefault="00F82650" w:rsidP="00F82650">
      <w:pPr>
        <w:spacing w:after="0"/>
        <w:rPr>
          <w:rFonts w:ascii="Arial" w:hAnsi="Arial" w:cs="Arial"/>
          <w:b/>
          <w:bCs/>
          <w:sz w:val="40"/>
          <w:szCs w:val="40"/>
        </w:rPr>
      </w:pPr>
    </w:p>
    <w:p w14:paraId="5A5C4F1B" w14:textId="22539893" w:rsidR="00F82650" w:rsidRDefault="00F82650" w:rsidP="00F82650">
      <w:pPr>
        <w:spacing w:after="0"/>
        <w:rPr>
          <w:rFonts w:ascii="Arial" w:hAnsi="Arial" w:cs="Arial"/>
          <w:b/>
          <w:bCs/>
          <w:sz w:val="40"/>
          <w:szCs w:val="40"/>
        </w:rPr>
      </w:pPr>
    </w:p>
    <w:p w14:paraId="7C110A1A" w14:textId="77777777" w:rsidR="00F82650" w:rsidRPr="00F82650" w:rsidRDefault="00F82650" w:rsidP="00F82650">
      <w:pPr>
        <w:spacing w:after="0"/>
        <w:rPr>
          <w:rFonts w:ascii="Arial" w:hAnsi="Arial" w:cs="Arial"/>
          <w:b/>
          <w:bCs/>
          <w:sz w:val="40"/>
          <w:szCs w:val="40"/>
        </w:rPr>
      </w:pPr>
    </w:p>
    <w:p w14:paraId="10A8CCC2" w14:textId="77777777" w:rsidR="00E73C13" w:rsidRPr="00CF2923" w:rsidRDefault="00E73C13" w:rsidP="00CF2923">
      <w:pPr>
        <w:spacing w:after="0" w:line="360" w:lineRule="auto"/>
        <w:rPr>
          <w:rFonts w:ascii="Arial" w:hAnsi="Arial" w:cs="Arial"/>
          <w:bCs/>
          <w:color w:val="222222"/>
          <w:kern w:val="2"/>
          <w:sz w:val="24"/>
          <w:szCs w:val="24"/>
          <w14:ligatures w14:val="standardContextual"/>
        </w:rPr>
      </w:pPr>
    </w:p>
    <w:p w14:paraId="452AAB77" w14:textId="10A7AA89" w:rsidR="0096608F" w:rsidRPr="000D34DF" w:rsidRDefault="00B71408" w:rsidP="00525F91">
      <w:pPr>
        <w:pStyle w:val="Heading1"/>
        <w:spacing w:after="0"/>
        <w:rPr>
          <w:rFonts w:asciiTheme="minorHAnsi" w:hAnsiTheme="minorHAnsi" w:cstheme="minorHAnsi"/>
          <w:b/>
          <w:bCs/>
          <w:sz w:val="24"/>
          <w:szCs w:val="24"/>
        </w:rPr>
      </w:pPr>
      <w:r w:rsidRPr="000D34DF">
        <w:rPr>
          <w:rFonts w:asciiTheme="minorHAnsi" w:hAnsiTheme="minorHAnsi" w:cstheme="minorHAnsi"/>
          <w:b/>
          <w:bCs/>
          <w:sz w:val="24"/>
          <w:szCs w:val="24"/>
        </w:rPr>
        <w:lastRenderedPageBreak/>
        <w:t>Int</w:t>
      </w:r>
      <w:r w:rsidR="00D65FA7" w:rsidRPr="000D34DF">
        <w:rPr>
          <w:rFonts w:asciiTheme="minorHAnsi" w:hAnsiTheme="minorHAnsi" w:cstheme="minorHAnsi"/>
          <w:b/>
          <w:bCs/>
          <w:sz w:val="24"/>
          <w:szCs w:val="24"/>
        </w:rPr>
        <w:t>r</w:t>
      </w:r>
      <w:r w:rsidR="00075C14" w:rsidRPr="000D34DF">
        <w:rPr>
          <w:rFonts w:asciiTheme="minorHAnsi" w:hAnsiTheme="minorHAnsi" w:cstheme="minorHAnsi"/>
          <w:b/>
          <w:bCs/>
          <w:sz w:val="24"/>
          <w:szCs w:val="24"/>
        </w:rPr>
        <w:t>oduction</w:t>
      </w:r>
      <w:r w:rsidRPr="000D34DF">
        <w:rPr>
          <w:rFonts w:asciiTheme="minorHAnsi" w:hAnsiTheme="minorHAnsi" w:cstheme="minorHAnsi"/>
          <w:b/>
          <w:bCs/>
          <w:sz w:val="24"/>
          <w:szCs w:val="24"/>
        </w:rPr>
        <w:t xml:space="preserve"> </w:t>
      </w:r>
    </w:p>
    <w:p w14:paraId="1B86894D" w14:textId="6A2D6B43" w:rsidR="00F82650" w:rsidRPr="000D34DF" w:rsidRDefault="00F82650" w:rsidP="00F82650">
      <w:pPr>
        <w:spacing w:line="360" w:lineRule="auto"/>
        <w:jc w:val="both"/>
        <w:rPr>
          <w:rFonts w:cstheme="minorHAnsi"/>
          <w:sz w:val="24"/>
          <w:szCs w:val="24"/>
        </w:rPr>
      </w:pPr>
      <w:r w:rsidRPr="000D34DF">
        <w:rPr>
          <w:rFonts w:cstheme="minorHAnsi"/>
          <w:sz w:val="24"/>
          <w:szCs w:val="24"/>
        </w:rPr>
        <w:t>Direct payments represent a transformative approach in the field of adult social care, designed to empower individuals by giving them control over the resources allocated for their care and support. At their core, direct payments reflect a commitment to personalisation, enabling people to tailor services to their unique needs, lifestyles, and aspirations (Department of Health 2005, 2006). This model emerged from the Independent Living Movement of the 1980s, where disabled activists and allies advocated for autonomy, dignity, and self-determination in the organisation of their lives, including the ability to recruit and manage their own support (Morris, 2004; Glasby &amp; Littlechild, 2009). The principle that individuals are best placed to make decisions about their own care laid the ideological foundation for direct payments.</w:t>
      </w:r>
    </w:p>
    <w:p w14:paraId="134E10C3" w14:textId="77777777" w:rsidR="00F82650" w:rsidRPr="000D34DF" w:rsidRDefault="00F82650" w:rsidP="00F82650">
      <w:pPr>
        <w:spacing w:line="360" w:lineRule="auto"/>
        <w:jc w:val="both"/>
        <w:rPr>
          <w:rFonts w:cstheme="minorHAnsi"/>
          <w:sz w:val="24"/>
          <w:szCs w:val="24"/>
        </w:rPr>
      </w:pPr>
      <w:r w:rsidRPr="000D34DF">
        <w:rPr>
          <w:rFonts w:cstheme="minorHAnsi"/>
          <w:sz w:val="24"/>
          <w:szCs w:val="24"/>
        </w:rPr>
        <w:t>The statutory basis for direct payments in England was established with the introduction of the Community Care (Direct Payments) Act 1996, a landmark piece of legislation that made it lawful for local authorities to provide cash payments directly to service users in lieu of commissioned services (Department of Health 1997; Davey et al, 2007). This legal right was later expanded and consolidated under the Care Act 2014, which mandates that adults with eligible needs must be offered a personal budget and, if they so wish and are deemed capable (either independently or with support), a direct payment to manage it. The Care and Support (Direct Payments) Regulations 2014 further define the scope, eligibility, and operational requirements for local authorities to follow (Department of Health &amp; Social Care, 2014). Together, these frameworks seek to place individuals at the heart of social care decision-making, shifting power away from statutory agencies and towards the people they support (Manthorpe et al. 2009; Kendall &amp; Cameron 2014). Within this model, eligible individuals, ranging from older adults and disabled people to carers, can use their allocated funding to employ personal assistants, purchase community-based support, or access services not typically available through traditional commissioned pathways (Jarret, 2015). This flexibility allows for more creative, responsive, and culturally relevant care arrangements, particularly for groups who may have experienced marginalisation or misalignment between their needs and standard service provision (Beresford et al., 2011; Manthorpe et al., 2011).</w:t>
      </w:r>
    </w:p>
    <w:p w14:paraId="34E5CEC0" w14:textId="77777777" w:rsidR="00F82650" w:rsidRPr="000D34DF" w:rsidRDefault="00F82650" w:rsidP="00F82650">
      <w:pPr>
        <w:spacing w:line="360" w:lineRule="auto"/>
        <w:jc w:val="both"/>
        <w:rPr>
          <w:rFonts w:cstheme="minorHAnsi"/>
          <w:sz w:val="24"/>
          <w:szCs w:val="24"/>
        </w:rPr>
      </w:pPr>
    </w:p>
    <w:p w14:paraId="0755F694" w14:textId="7353E027" w:rsidR="00F82650" w:rsidRPr="000D34DF" w:rsidRDefault="00F82650" w:rsidP="00F82650">
      <w:pPr>
        <w:spacing w:line="360" w:lineRule="auto"/>
        <w:jc w:val="both"/>
        <w:rPr>
          <w:rFonts w:cstheme="minorHAnsi"/>
          <w:sz w:val="24"/>
          <w:szCs w:val="24"/>
        </w:rPr>
      </w:pPr>
      <w:r w:rsidRPr="000D34DF">
        <w:rPr>
          <w:rFonts w:cstheme="minorHAnsi"/>
          <w:sz w:val="24"/>
          <w:szCs w:val="24"/>
        </w:rPr>
        <w:t>The ethos of direct payments is grounded in human rights and the social model of disability, which emphasises the removal of societal and structural barriers that prevent full participation and inclusion (NHS, 2018). By giving individuals the means to determine the timing, nature, and provider of their care, direct payments embody a profound shift towards citizenship-based models of care (Netten et al. 2012; Hamilton et al. 2015). This represents a departure from the paternalistic traditions that historically characterised adult social care, where professional gatekeeping and risk-averse cultures often limited the agency of service users.</w:t>
      </w:r>
    </w:p>
    <w:p w14:paraId="67D97878" w14:textId="73CB1D18" w:rsidR="00F82650" w:rsidRPr="000D34DF" w:rsidRDefault="00F82650" w:rsidP="00F82650">
      <w:pPr>
        <w:spacing w:line="360" w:lineRule="auto"/>
        <w:jc w:val="both"/>
        <w:rPr>
          <w:rFonts w:cstheme="minorHAnsi"/>
          <w:sz w:val="24"/>
          <w:szCs w:val="24"/>
        </w:rPr>
      </w:pPr>
      <w:r w:rsidRPr="000D34DF">
        <w:rPr>
          <w:rFonts w:cstheme="minorHAnsi"/>
          <w:sz w:val="24"/>
          <w:szCs w:val="24"/>
        </w:rPr>
        <w:t>Despite their transformative potential, the uptake of direct payments remains inconsistent across England. According to national estimates, only around one in four adults with eligible care needs currently receive a direct payment, with variation depending on local policy, practice, and support infrastructure (Glendinning et al., 2008;). Numerous barriers persist, including complex application processes, limited awareness among practitioners and service users, concerns about managing employment responsibilities, and inflexible local authority systems (Glendinning et al., 2008; Netten et al., 2012; Rodrigues and Glendinning, 2015).</w:t>
      </w:r>
    </w:p>
    <w:p w14:paraId="70BA829A" w14:textId="52281555" w:rsidR="00B607E1" w:rsidRPr="009A72AC" w:rsidRDefault="00F82650" w:rsidP="009A72AC">
      <w:pPr>
        <w:spacing w:line="360" w:lineRule="auto"/>
        <w:jc w:val="both"/>
        <w:rPr>
          <w:rFonts w:cstheme="minorHAnsi"/>
          <w:sz w:val="24"/>
          <w:szCs w:val="24"/>
        </w:rPr>
      </w:pPr>
      <w:r w:rsidRPr="000D34DF">
        <w:rPr>
          <w:rFonts w:cstheme="minorHAnsi"/>
          <w:sz w:val="24"/>
          <w:szCs w:val="24"/>
        </w:rPr>
        <w:t>This evidence review critically examines the implementation and effectiveness of direct payments in adult social care, focusing on four key domains: governance frameworks, workforce strategies, cultural change components, and system redesign approaches. Drawing on a wide range of academic, policy, and practice-based literature, the review seeks to identify the enabling conditions for successful implementation, the challenges that hinder progress, and the opportunities for future innovation. In doing so, it aims to support policymakers, practitioners, and service users in realising the full potential of direct payments as a vehicle for autonomy, inclusion, and personalised support.</w:t>
      </w:r>
    </w:p>
    <w:p w14:paraId="7061E828" w14:textId="77777777" w:rsidR="00992F1E" w:rsidRPr="000D34DF" w:rsidRDefault="00992F1E" w:rsidP="0063272C">
      <w:pPr>
        <w:spacing w:after="0" w:line="360" w:lineRule="auto"/>
        <w:rPr>
          <w:rFonts w:cstheme="minorHAnsi"/>
          <w:kern w:val="2"/>
          <w:sz w:val="24"/>
          <w:szCs w:val="24"/>
          <w14:ligatures w14:val="standardContextual"/>
        </w:rPr>
      </w:pPr>
    </w:p>
    <w:p w14:paraId="7BEC5C3F" w14:textId="1657F995" w:rsidR="00FA3D38" w:rsidRPr="00E324C5" w:rsidRDefault="00F82650" w:rsidP="006C3568">
      <w:pPr>
        <w:pStyle w:val="Heading1"/>
        <w:spacing w:after="0"/>
        <w:rPr>
          <w:rFonts w:asciiTheme="minorHAnsi" w:hAnsiTheme="minorHAnsi" w:cstheme="minorHAnsi"/>
          <w:b/>
          <w:bCs/>
          <w:sz w:val="24"/>
          <w:szCs w:val="24"/>
        </w:rPr>
      </w:pPr>
      <w:r w:rsidRPr="00E324C5">
        <w:rPr>
          <w:rFonts w:asciiTheme="minorHAnsi" w:hAnsiTheme="minorHAnsi" w:cstheme="minorHAnsi"/>
          <w:b/>
          <w:bCs/>
          <w:sz w:val="24"/>
          <w:szCs w:val="24"/>
        </w:rPr>
        <w:t>Structuring Governance Frameworks for Accountability, Transparency and Consistency in Direct Payments</w:t>
      </w:r>
    </w:p>
    <w:p w14:paraId="63A1CCB8" w14:textId="66C74235" w:rsidR="00F82650" w:rsidRPr="000D34DF" w:rsidRDefault="00F82650" w:rsidP="00F82650">
      <w:pPr>
        <w:spacing w:line="360" w:lineRule="auto"/>
        <w:jc w:val="both"/>
        <w:rPr>
          <w:rFonts w:cstheme="minorHAnsi"/>
          <w:sz w:val="24"/>
          <w:szCs w:val="24"/>
        </w:rPr>
      </w:pPr>
      <w:r w:rsidRPr="000D34DF">
        <w:rPr>
          <w:rFonts w:cstheme="minorHAnsi"/>
          <w:sz w:val="24"/>
          <w:szCs w:val="24"/>
        </w:rPr>
        <w:t xml:space="preserve">The governance of direct payments in adult social care has emerged as a critical domain for balancing the principles of autonomy, personalisation, and user empowerment with the </w:t>
      </w:r>
      <w:r w:rsidRPr="000D34DF">
        <w:rPr>
          <w:rFonts w:cstheme="minorHAnsi"/>
          <w:sz w:val="24"/>
          <w:szCs w:val="24"/>
        </w:rPr>
        <w:lastRenderedPageBreak/>
        <w:t>imperatives of public accountability, financial stewardship, and legal compliance. The evidence consistently shows that well-structured governance frameworks are essential for ensuring that direct payments are delivered equitably, transparently, and consistently across local authority areas.</w:t>
      </w:r>
    </w:p>
    <w:p w14:paraId="5DDF0394" w14:textId="757A5B0D" w:rsidR="00F82650" w:rsidRPr="000D34DF" w:rsidRDefault="00F82650" w:rsidP="00F82650">
      <w:pPr>
        <w:spacing w:line="360" w:lineRule="auto"/>
        <w:jc w:val="both"/>
        <w:rPr>
          <w:rFonts w:cstheme="minorHAnsi"/>
          <w:sz w:val="24"/>
          <w:szCs w:val="24"/>
        </w:rPr>
      </w:pPr>
      <w:r w:rsidRPr="000D34DF">
        <w:rPr>
          <w:rFonts w:cstheme="minorHAnsi"/>
          <w:sz w:val="24"/>
          <w:szCs w:val="24"/>
        </w:rPr>
        <w:t xml:space="preserve">At the national level, the Care Act 2014 and its accompanying statutory guidance provide the legislative foundation for direct payments in England. This legislation mandates local authorities to offer personal budgets and, where appropriate, direct payments to individuals with eligible needs. It enshrines personalisation not as a discretionary offering but as a legal entitlement, requiring councils to assess individual needs, determine eligibility, and ensure that personal budgets are managed in a way that secures the desired outcomes (Department of Health &amp; Social Care, 2014). However, as reports from the Local Government Association </w:t>
      </w:r>
      <w:r w:rsidR="009E5BFD">
        <w:rPr>
          <w:rFonts w:cstheme="minorHAnsi"/>
          <w:sz w:val="24"/>
          <w:szCs w:val="24"/>
        </w:rPr>
        <w:t>a</w:t>
      </w:r>
      <w:r w:rsidRPr="000D34DF">
        <w:rPr>
          <w:rFonts w:cstheme="minorHAnsi"/>
          <w:sz w:val="24"/>
          <w:szCs w:val="24"/>
        </w:rPr>
        <w:t>nd TLAP (2022) indicate, effective implementation of this legislation hinges on operational practices at the local level that can translate statutory requirements into accessible and consistent user experiences.</w:t>
      </w:r>
    </w:p>
    <w:p w14:paraId="4F9936E1" w14:textId="7C695FA0" w:rsidR="00F82650" w:rsidRPr="000D34DF" w:rsidRDefault="00F82650" w:rsidP="00F82650">
      <w:pPr>
        <w:spacing w:line="360" w:lineRule="auto"/>
        <w:jc w:val="both"/>
        <w:rPr>
          <w:rFonts w:cstheme="minorHAnsi"/>
          <w:color w:val="000000" w:themeColor="text1"/>
          <w:sz w:val="24"/>
          <w:szCs w:val="24"/>
        </w:rPr>
      </w:pPr>
      <w:r w:rsidRPr="000D34DF">
        <w:rPr>
          <w:rFonts w:cstheme="minorHAnsi"/>
          <w:color w:val="000000" w:themeColor="text1"/>
          <w:sz w:val="24"/>
          <w:szCs w:val="24"/>
        </w:rPr>
        <w:t>The evidence also shows that financial oversight remains a key area of governance concern. Traditional compliance-oriented audit models, often characterised by rigid receipt-based verification, have been criticised for creating undue administrative burdens and undermining trust in the system (TLAP, 2021; 2022). A policy briefing by the Centre for Care, (Needham, 2024</w:t>
      </w:r>
      <w:r w:rsidR="009E5BFD">
        <w:rPr>
          <w:rFonts w:cstheme="minorHAnsi"/>
          <w:color w:val="000000" w:themeColor="text1"/>
          <w:sz w:val="24"/>
          <w:szCs w:val="24"/>
        </w:rPr>
        <w:t>,</w:t>
      </w:r>
      <w:r w:rsidRPr="000D34DF">
        <w:rPr>
          <w:rFonts w:cstheme="minorHAnsi"/>
          <w:color w:val="000000" w:themeColor="text1"/>
          <w:sz w:val="24"/>
          <w:szCs w:val="24"/>
        </w:rPr>
        <w:t xml:space="preserve"> Wolham et al, </w:t>
      </w:r>
      <w:r w:rsidR="009A2849">
        <w:rPr>
          <w:rFonts w:cstheme="minorHAnsi"/>
          <w:color w:val="000000" w:themeColor="text1"/>
          <w:sz w:val="24"/>
          <w:szCs w:val="24"/>
        </w:rPr>
        <w:t>(</w:t>
      </w:r>
      <w:r w:rsidRPr="000D34DF">
        <w:rPr>
          <w:rFonts w:cstheme="minorHAnsi"/>
          <w:color w:val="000000" w:themeColor="text1"/>
          <w:sz w:val="24"/>
          <w:szCs w:val="24"/>
        </w:rPr>
        <w:t>2017) found that such approaches contribute to low take-up of direct payments, particularly among individuals with complex needs and older people who may struggle with bureaucratic demands. Instead, recent innovations suggest that outcome-focused and risk-proportionate monitoring strategies yield more sustainable and user-centred models of financial accountability. For example, Lincolnshire Local Authority’s adoption of a light-touch auditing framework, where additional scrutiny is triggered only by specific risk indicators, has been associated with higher satisfaction and lower administrative costs (Rowlett and Deighton, 2009). Similarly, Nottinghamshire County Council’s implementation of digital monitoring tools has enhanced both efficiency and transparency by allowing recipients to track spending and submit data electronically.</w:t>
      </w:r>
    </w:p>
    <w:p w14:paraId="43DB4814" w14:textId="77777777" w:rsidR="00F82650" w:rsidRPr="000D34DF" w:rsidRDefault="00F82650" w:rsidP="00F82650">
      <w:pPr>
        <w:spacing w:line="360" w:lineRule="auto"/>
        <w:jc w:val="both"/>
        <w:rPr>
          <w:rFonts w:cstheme="minorHAnsi"/>
          <w:color w:val="FF0000"/>
          <w:sz w:val="24"/>
          <w:szCs w:val="24"/>
        </w:rPr>
      </w:pPr>
    </w:p>
    <w:p w14:paraId="4A5DCC30" w14:textId="5AB87E92" w:rsidR="00F82650" w:rsidRPr="000D34DF" w:rsidRDefault="00F82650" w:rsidP="00F82650">
      <w:pPr>
        <w:spacing w:line="360" w:lineRule="auto"/>
        <w:jc w:val="both"/>
        <w:rPr>
          <w:rFonts w:cstheme="minorHAnsi"/>
          <w:sz w:val="24"/>
          <w:szCs w:val="24"/>
        </w:rPr>
      </w:pPr>
      <w:r w:rsidRPr="000D34DF">
        <w:rPr>
          <w:rFonts w:cstheme="minorHAnsi"/>
          <w:sz w:val="24"/>
          <w:szCs w:val="24"/>
        </w:rPr>
        <w:lastRenderedPageBreak/>
        <w:t>Transparency is another fundamental pillar of robust governance. Policy evaluations highlight that the absence of clear and consistent operational guidance leads to significant regional disparities in the administration of direct payments (Davey et al., 2007; Lombard et al., 2019; Local Government Association, 2025). This inconsistency not only undermines fairness but also creates confusion among people who draw on care and support and practitioners. In response, the Local Government Association and Think Local Act Personal (TLAP, 2022) have called for the development of plain-language policies that clearly define eligible expenditures, user responsibilities, and monitoring procedures. These resources, when co-produced with people who use services, have been shown to reduce complaints, clarify expectations, and improve service confidence (TLAP, 2022; Watson, 2025).</w:t>
      </w:r>
    </w:p>
    <w:p w14:paraId="42486035" w14:textId="110F5DE1" w:rsidR="00F82650" w:rsidRPr="000D34DF" w:rsidRDefault="00F82650" w:rsidP="00F82650">
      <w:pPr>
        <w:spacing w:line="360" w:lineRule="auto"/>
        <w:jc w:val="both"/>
        <w:rPr>
          <w:rFonts w:cstheme="minorHAnsi"/>
          <w:sz w:val="24"/>
          <w:szCs w:val="24"/>
        </w:rPr>
      </w:pPr>
      <w:r w:rsidRPr="000D34DF">
        <w:rPr>
          <w:rFonts w:cstheme="minorHAnsi"/>
          <w:sz w:val="24"/>
          <w:szCs w:val="24"/>
        </w:rPr>
        <w:t xml:space="preserve">Furthermore, the evidence increasingly </w:t>
      </w:r>
      <w:r w:rsidR="009A72AC">
        <w:rPr>
          <w:rFonts w:cstheme="minorHAnsi"/>
          <w:sz w:val="24"/>
          <w:szCs w:val="24"/>
        </w:rPr>
        <w:t>highlights</w:t>
      </w:r>
      <w:r w:rsidRPr="000D34DF">
        <w:rPr>
          <w:rFonts w:cstheme="minorHAnsi"/>
          <w:sz w:val="24"/>
          <w:szCs w:val="24"/>
        </w:rPr>
        <w:t xml:space="preserve"> the importance of co-production in governance design. Involving people with lived experience of care in the formulation and oversight of direct payments policies ensures that systems are more responsive, equitable, and fit for purpose (Loeffleret al, 2012; Pearson et al., 2020). A report by Citizen Network (Watson, 2025) documenting the experience of Stockport Council showed that the active engagement of disabled people’s organisations in shaping the local direct payments offer led to clearer guidance, increased uptake, and a reduction in complaints. Co-production frameworks, such as TLAP’s "Making It Real" markers, provide a structured methodology for embedding people who draw</w:t>
      </w:r>
      <w:r w:rsidR="009A72AC">
        <w:rPr>
          <w:rFonts w:cstheme="minorHAnsi"/>
          <w:sz w:val="24"/>
          <w:szCs w:val="24"/>
        </w:rPr>
        <w:t xml:space="preserve"> o</w:t>
      </w:r>
      <w:r w:rsidRPr="000D34DF">
        <w:rPr>
          <w:rFonts w:cstheme="minorHAnsi"/>
          <w:sz w:val="24"/>
          <w:szCs w:val="24"/>
        </w:rPr>
        <w:t>n care and support involvement in governance systems and evaluating progress in areas such as information accessibility, person-centred reviews, and risk management.</w:t>
      </w:r>
    </w:p>
    <w:p w14:paraId="6D9FA266" w14:textId="71FB9C21" w:rsidR="00F82650" w:rsidRPr="000D34DF" w:rsidRDefault="00F82650" w:rsidP="00F82650">
      <w:pPr>
        <w:spacing w:line="360" w:lineRule="auto"/>
        <w:jc w:val="both"/>
        <w:rPr>
          <w:rFonts w:cstheme="minorHAnsi"/>
          <w:sz w:val="24"/>
          <w:szCs w:val="24"/>
        </w:rPr>
      </w:pPr>
      <w:r w:rsidRPr="000D34DF">
        <w:rPr>
          <w:rFonts w:cstheme="minorHAnsi"/>
          <w:sz w:val="24"/>
          <w:szCs w:val="24"/>
        </w:rPr>
        <w:t xml:space="preserve">A recurring theme in the literature is the persistence of inconsistency across local authorities. Despite shared legislative duties, </w:t>
      </w:r>
      <w:r w:rsidR="009A72AC">
        <w:rPr>
          <w:rFonts w:cstheme="minorHAnsi"/>
          <w:sz w:val="24"/>
          <w:szCs w:val="24"/>
        </w:rPr>
        <w:t xml:space="preserve">a </w:t>
      </w:r>
      <w:r w:rsidRPr="000D34DF">
        <w:rPr>
          <w:rFonts w:cstheme="minorHAnsi"/>
          <w:sz w:val="24"/>
          <w:szCs w:val="24"/>
        </w:rPr>
        <w:t xml:space="preserve">review of all local authority policies in England by Watson, (2025) highlights wide variability in direct payments policy execution, with some councils offering flexible, digitally enabled payment models and others adhering to restrictive, paper-based systems. This variation risks perpetuating postcode lotteries and inequities in access to personalised care. In response, some local authorities have initiated collaborative regional networks aimed at harmonising standards and sharing resources. The </w:t>
      </w:r>
      <w:r w:rsidR="00B05D38" w:rsidRPr="000D34DF">
        <w:rPr>
          <w:rFonts w:cstheme="minorHAnsi"/>
          <w:sz w:val="24"/>
          <w:szCs w:val="24"/>
        </w:rPr>
        <w:t>Northwest</w:t>
      </w:r>
      <w:r w:rsidRPr="000D34DF">
        <w:rPr>
          <w:rFonts w:cstheme="minorHAnsi"/>
          <w:sz w:val="24"/>
          <w:szCs w:val="24"/>
        </w:rPr>
        <w:t xml:space="preserve"> Personalisation Forum, for instance, facilitates cross-boundary learning and peer support </w:t>
      </w:r>
      <w:r w:rsidRPr="000D34DF">
        <w:rPr>
          <w:rFonts w:cstheme="minorHAnsi"/>
          <w:sz w:val="24"/>
          <w:szCs w:val="24"/>
        </w:rPr>
        <w:lastRenderedPageBreak/>
        <w:t>among councils, contributing to more consistent and innovative approaches to governance (Watson, 2025).</w:t>
      </w:r>
    </w:p>
    <w:p w14:paraId="70829F8C" w14:textId="10AC0CA8" w:rsidR="00F82650" w:rsidRPr="000D34DF" w:rsidRDefault="00B05D38" w:rsidP="00F82650">
      <w:pPr>
        <w:spacing w:line="360" w:lineRule="auto"/>
        <w:jc w:val="both"/>
        <w:rPr>
          <w:rFonts w:cstheme="minorHAnsi"/>
          <w:sz w:val="24"/>
          <w:szCs w:val="24"/>
        </w:rPr>
      </w:pPr>
      <w:r>
        <w:rPr>
          <w:rFonts w:cstheme="minorHAnsi"/>
          <w:sz w:val="24"/>
          <w:szCs w:val="24"/>
        </w:rPr>
        <w:t>Overall, t</w:t>
      </w:r>
      <w:r w:rsidR="00F82650" w:rsidRPr="000D34DF">
        <w:rPr>
          <w:rFonts w:cstheme="minorHAnsi"/>
          <w:sz w:val="24"/>
          <w:szCs w:val="24"/>
        </w:rPr>
        <w:t>he evidence indicates that accountable, transparent, and consistent governance of direct payments requires a multi-level framework that integrates legislative clarity, local leadership, co-production, and flexible financial monitoring. Systems that prioritise outcome-based oversight, provide clear and accessible guidance, foster interdepartmental leadership, and meaningfully engage service users are more likely to deliver on the promise of direct payments as a vehicle for autonomy, dignity, and person-centred support.</w:t>
      </w:r>
    </w:p>
    <w:p w14:paraId="6A7A1658" w14:textId="77777777" w:rsidR="00CF2923" w:rsidRPr="000D34DF" w:rsidRDefault="00CF2923" w:rsidP="00CF2923">
      <w:pPr>
        <w:spacing w:after="0"/>
        <w:rPr>
          <w:rFonts w:cstheme="minorHAnsi"/>
          <w:sz w:val="24"/>
          <w:szCs w:val="24"/>
        </w:rPr>
      </w:pPr>
    </w:p>
    <w:p w14:paraId="28280C7C" w14:textId="10E0687B" w:rsidR="00B05D38" w:rsidRPr="00B05D38" w:rsidRDefault="003F78FB" w:rsidP="00D05E64">
      <w:pPr>
        <w:pStyle w:val="Heading1"/>
        <w:spacing w:after="0"/>
      </w:pPr>
      <w:r w:rsidRPr="00D05E64">
        <w:rPr>
          <w:rFonts w:asciiTheme="minorHAnsi" w:hAnsiTheme="minorHAnsi" w:cstheme="minorHAnsi"/>
          <w:b/>
          <w:bCs/>
          <w:sz w:val="24"/>
          <w:szCs w:val="24"/>
        </w:rPr>
        <w:t>De</w:t>
      </w:r>
      <w:r w:rsidR="00F82650" w:rsidRPr="00D05E64">
        <w:rPr>
          <w:rFonts w:asciiTheme="minorHAnsi" w:hAnsiTheme="minorHAnsi" w:cstheme="minorHAnsi"/>
          <w:b/>
          <w:bCs/>
          <w:sz w:val="24"/>
          <w:szCs w:val="24"/>
        </w:rPr>
        <w:t>veloping the Workforce to Support</w:t>
      </w:r>
      <w:r w:rsidR="000D34DF" w:rsidRPr="00D05E64">
        <w:rPr>
          <w:rFonts w:asciiTheme="minorHAnsi" w:hAnsiTheme="minorHAnsi" w:cstheme="minorHAnsi"/>
          <w:b/>
          <w:bCs/>
          <w:sz w:val="24"/>
          <w:szCs w:val="24"/>
        </w:rPr>
        <w:t xml:space="preserve"> Effective and </w:t>
      </w:r>
      <w:r w:rsidR="00B05D38" w:rsidRPr="00D05E64">
        <w:rPr>
          <w:rFonts w:asciiTheme="minorHAnsi" w:hAnsiTheme="minorHAnsi" w:cstheme="minorHAnsi"/>
          <w:b/>
          <w:bCs/>
          <w:sz w:val="24"/>
          <w:szCs w:val="24"/>
        </w:rPr>
        <w:t>Person-Centred</w:t>
      </w:r>
      <w:r w:rsidR="000D34DF" w:rsidRPr="00D05E64">
        <w:rPr>
          <w:rFonts w:asciiTheme="minorHAnsi" w:hAnsiTheme="minorHAnsi" w:cstheme="minorHAnsi"/>
          <w:b/>
          <w:bCs/>
          <w:sz w:val="24"/>
          <w:szCs w:val="24"/>
        </w:rPr>
        <w:t xml:space="preserve"> Direct Payments</w:t>
      </w:r>
    </w:p>
    <w:p w14:paraId="2E483E5E" w14:textId="2BF4CC99" w:rsidR="000D34DF" w:rsidRPr="000D34DF" w:rsidRDefault="000D34DF" w:rsidP="000D34DF">
      <w:pPr>
        <w:spacing w:line="360" w:lineRule="auto"/>
        <w:jc w:val="both"/>
        <w:rPr>
          <w:rFonts w:cstheme="minorHAnsi"/>
          <w:sz w:val="24"/>
          <w:szCs w:val="24"/>
        </w:rPr>
      </w:pPr>
      <w:r w:rsidRPr="000D34DF">
        <w:rPr>
          <w:rFonts w:cstheme="minorHAnsi"/>
          <w:sz w:val="24"/>
          <w:szCs w:val="24"/>
        </w:rPr>
        <w:t>An effective and person-centred direct payments system depends not only on robust governance but on a committed, well-informed, and values-driven workforce</w:t>
      </w:r>
      <w:r w:rsidR="00B05D38">
        <w:rPr>
          <w:rFonts w:cstheme="minorHAnsi"/>
          <w:sz w:val="24"/>
          <w:szCs w:val="24"/>
        </w:rPr>
        <w:t xml:space="preserve"> (LGA, 2025b)</w:t>
      </w:r>
      <w:r w:rsidRPr="000D34DF">
        <w:rPr>
          <w:rFonts w:cstheme="minorHAnsi"/>
          <w:sz w:val="24"/>
          <w:szCs w:val="24"/>
        </w:rPr>
        <w:t>. Social workers, care coordinators, personal assistants, and other frontline professionals play pivotal roles in enabling individuals to understand, access, and manage direct payments in ways that reflect their goals and aspirations. However, despite the ambitions of national policy frameworks, evidence suggests that many practitioners operate within systems that constrain their capacity to act as true advocates for personalisation. Structural complexity, risk-averse cultures, and inconsistent training often leave staff under-prepared to support people to take control of their own care (</w:t>
      </w:r>
      <w:r w:rsidR="00B05D38">
        <w:rPr>
          <w:rFonts w:cstheme="minorHAnsi"/>
          <w:sz w:val="24"/>
          <w:szCs w:val="24"/>
        </w:rPr>
        <w:t>LGA, 2025b</w:t>
      </w:r>
      <w:r w:rsidRPr="000D34DF">
        <w:rPr>
          <w:rFonts w:cstheme="minorHAnsi"/>
          <w:sz w:val="24"/>
          <w:szCs w:val="24"/>
        </w:rPr>
        <w:t>;</w:t>
      </w:r>
      <w:r w:rsidR="00B05D38">
        <w:rPr>
          <w:rFonts w:cstheme="minorHAnsi"/>
          <w:sz w:val="24"/>
          <w:szCs w:val="24"/>
        </w:rPr>
        <w:t xml:space="preserve"> </w:t>
      </w:r>
      <w:r w:rsidRPr="000D34DF">
        <w:rPr>
          <w:rFonts w:cstheme="minorHAnsi"/>
          <w:sz w:val="24"/>
          <w:szCs w:val="24"/>
        </w:rPr>
        <w:t>Needham, 2024).</w:t>
      </w:r>
    </w:p>
    <w:p w14:paraId="600E7270" w14:textId="511436A9" w:rsidR="000D34DF" w:rsidRPr="000D34DF" w:rsidRDefault="000D34DF" w:rsidP="000D34DF">
      <w:pPr>
        <w:spacing w:line="360" w:lineRule="auto"/>
        <w:jc w:val="both"/>
        <w:rPr>
          <w:rFonts w:cstheme="minorHAnsi"/>
          <w:sz w:val="24"/>
          <w:szCs w:val="24"/>
        </w:rPr>
      </w:pPr>
      <w:r w:rsidRPr="000D34DF">
        <w:rPr>
          <w:rFonts w:cstheme="minorHAnsi"/>
          <w:sz w:val="24"/>
          <w:szCs w:val="24"/>
        </w:rPr>
        <w:t>Workforce training and professional development remain central to addressing these barriers. Research consistently highlights wide variability in the availability, quality, and depth of training on direct payments and personalisation (Skills for Care, 2023</w:t>
      </w:r>
      <w:r w:rsidR="00B05D38">
        <w:rPr>
          <w:rFonts w:cstheme="minorHAnsi"/>
          <w:sz w:val="24"/>
          <w:szCs w:val="24"/>
        </w:rPr>
        <w:t>; LGA, 2025b</w:t>
      </w:r>
      <w:r w:rsidRPr="000D34DF">
        <w:rPr>
          <w:rFonts w:cstheme="minorHAnsi"/>
          <w:sz w:val="24"/>
          <w:szCs w:val="24"/>
        </w:rPr>
        <w:t xml:space="preserve">). In many local areas, staff receive only cursory instruction on the legal framework or practicalities of managing individual budgets (Watson, 2025). This results in confusion, heightened risk aversion, and inconsistent guidance being given to individuals. Where more comprehensive and contextually grounded training has been delivered, evidence points to marked improvements in staff confidence, decision-making, and creativity in care planning. For example, Skills for Care’s “Making it Real in Practice” programme equips practitioners with a blend of legal knowledge, scenario-based learning, and reflective exercises, helping to build </w:t>
      </w:r>
      <w:r w:rsidRPr="000D34DF">
        <w:rPr>
          <w:rFonts w:cstheme="minorHAnsi"/>
          <w:sz w:val="24"/>
          <w:szCs w:val="24"/>
        </w:rPr>
        <w:lastRenderedPageBreak/>
        <w:t>confidence in risk enablement and person-centred conversations. Evaluation of this approach suggests it supports staff to move beyond procedural compliance towards flexible, values-driven practice (Skills for Care).</w:t>
      </w:r>
    </w:p>
    <w:p w14:paraId="7F443F45" w14:textId="6E2CDCD0" w:rsidR="000D34DF" w:rsidRPr="000D34DF" w:rsidRDefault="000D34DF" w:rsidP="000D34DF">
      <w:pPr>
        <w:spacing w:line="360" w:lineRule="auto"/>
        <w:jc w:val="both"/>
        <w:rPr>
          <w:rFonts w:cstheme="minorHAnsi"/>
          <w:sz w:val="24"/>
          <w:szCs w:val="24"/>
        </w:rPr>
      </w:pPr>
      <w:r w:rsidRPr="000D34DF">
        <w:rPr>
          <w:rFonts w:cstheme="minorHAnsi"/>
          <w:sz w:val="24"/>
          <w:szCs w:val="24"/>
        </w:rPr>
        <w:t>The co-production of training content with people who draw on care and support further enhances its effectiveness. TLAP’s Better Direct Payments initiative highlights that training co-designed and co-delivered by individuals with lived experience fosters deeper empathy, strengthens understanding of personal outcomes, and challenges the deficit-based assumptions that often underlie professional judgments (TLAP, 2022). Councils such as Leeds and Wigan have embedded co-production principles into their induction and professional development programmes, with early evidence indicating greater consistency in practice and improved satisfaction among both staff and service users (Local Government Association, 2017</w:t>
      </w:r>
      <w:r w:rsidR="007A0D4C">
        <w:rPr>
          <w:rFonts w:cstheme="minorHAnsi"/>
          <w:sz w:val="24"/>
          <w:szCs w:val="24"/>
        </w:rPr>
        <w:t>)</w:t>
      </w:r>
    </w:p>
    <w:p w14:paraId="3A6BD130" w14:textId="53845C49" w:rsidR="000D34DF" w:rsidRPr="009A2849" w:rsidRDefault="000D34DF" w:rsidP="000D34DF">
      <w:pPr>
        <w:spacing w:line="360" w:lineRule="auto"/>
        <w:jc w:val="both"/>
        <w:rPr>
          <w:rFonts w:cstheme="minorHAnsi"/>
          <w:sz w:val="24"/>
          <w:szCs w:val="24"/>
        </w:rPr>
      </w:pPr>
      <w:r w:rsidRPr="000D34DF">
        <w:rPr>
          <w:rFonts w:cstheme="minorHAnsi"/>
          <w:sz w:val="24"/>
          <w:szCs w:val="24"/>
        </w:rPr>
        <w:t>While technical competence is essential, the literature makes clear that effective direct payments delivery also depends on a professional mindset grounded in autonomy, rights, and trust (Watson, 2025). Many staff continue to operate in cultures that privilege compliance, standardisation, and protection over innovation and individual control. This is particularly evident when supporting people with complex needs or fluctuating mental capacity, where the default response may be to restrict</w:t>
      </w:r>
      <w:r w:rsidRPr="003B2045">
        <w:rPr>
          <w:rFonts w:cstheme="minorHAnsi"/>
        </w:rPr>
        <w:t xml:space="preserve"> options rather than to explore enabling solutions</w:t>
      </w:r>
      <w:r>
        <w:rPr>
          <w:rFonts w:cstheme="minorHAnsi"/>
        </w:rPr>
        <w:t xml:space="preserve"> (</w:t>
      </w:r>
      <w:r w:rsidR="007A0D4C">
        <w:rPr>
          <w:rFonts w:cstheme="minorHAnsi"/>
        </w:rPr>
        <w:t>LGA, 2025b</w:t>
      </w:r>
      <w:r>
        <w:rPr>
          <w:rFonts w:cstheme="minorHAnsi"/>
        </w:rPr>
        <w:t>)</w:t>
      </w:r>
      <w:r w:rsidRPr="003B2045">
        <w:rPr>
          <w:rFonts w:cstheme="minorHAnsi"/>
        </w:rPr>
        <w:t xml:space="preserve">. </w:t>
      </w:r>
      <w:r w:rsidRPr="009A2849">
        <w:rPr>
          <w:rFonts w:cstheme="minorHAnsi"/>
          <w:sz w:val="24"/>
          <w:szCs w:val="24"/>
        </w:rPr>
        <w:t>The Citizen Network has long argued that such constraints are not simply technical but ideological, and that sustained exposure to values-based practice and structured reflection is necessary to shift ingrained attitudes (Watson, 2025). Organisational investments in supervision models that prioritise reflective practice, in communities of practice that foster peer dialogue, and in explicit alignment with ethical frameworks such as the Professional Capabilities Framework, are all cited as enablers of mindset change (Harworth, Miller and Schaub, 2018</w:t>
      </w:r>
      <w:r w:rsidR="007A0D4C" w:rsidRPr="009A2849">
        <w:rPr>
          <w:rFonts w:cstheme="minorHAnsi"/>
          <w:sz w:val="24"/>
          <w:szCs w:val="24"/>
        </w:rPr>
        <w:t>; LGA, 2025b</w:t>
      </w:r>
      <w:r w:rsidRPr="009A2849">
        <w:rPr>
          <w:rFonts w:cstheme="minorHAnsi"/>
          <w:sz w:val="24"/>
          <w:szCs w:val="24"/>
        </w:rPr>
        <w:t>). Hertfordshire County Council’s introduction of ‘personalisation champions’ within its teams exemplifies how peer leadership can reinforce enabling practice from within, offering informal support and helping to bridge communication between strategic leads and frontline workers (Disability Rights UK, n.d.).</w:t>
      </w:r>
    </w:p>
    <w:p w14:paraId="53AA79CE" w14:textId="69317D7D" w:rsidR="000D34DF" w:rsidRPr="009A2849" w:rsidRDefault="000D34DF" w:rsidP="000D34DF">
      <w:pPr>
        <w:spacing w:line="360" w:lineRule="auto"/>
        <w:jc w:val="both"/>
        <w:rPr>
          <w:rFonts w:cstheme="minorHAnsi"/>
          <w:sz w:val="24"/>
          <w:szCs w:val="24"/>
        </w:rPr>
      </w:pPr>
      <w:r w:rsidRPr="009A2849">
        <w:rPr>
          <w:rFonts w:cstheme="minorHAnsi"/>
          <w:sz w:val="24"/>
          <w:szCs w:val="24"/>
        </w:rPr>
        <w:lastRenderedPageBreak/>
        <w:t>Structural and organisational conditions also shape practitioners’ ability to support personalised solutions. Evidence suggests that high caseloads, limited planning time, and procedural rigidity frequently constrain creativity and inhibit meaningful conversations about choice and control (LGA, 2025</w:t>
      </w:r>
      <w:r w:rsidR="007A0D4C" w:rsidRPr="009A2849">
        <w:rPr>
          <w:rFonts w:cstheme="minorHAnsi"/>
          <w:sz w:val="24"/>
          <w:szCs w:val="24"/>
        </w:rPr>
        <w:t>a</w:t>
      </w:r>
      <w:r w:rsidRPr="009A2849">
        <w:rPr>
          <w:rFonts w:cstheme="minorHAnsi"/>
          <w:sz w:val="24"/>
          <w:szCs w:val="24"/>
        </w:rPr>
        <w:t>; Ettelt et al, 2017). To address this, several councils have restructured assessment and planning pathways to embed more relational and collaborative models. The 3 Conversations Model, for example, implemented in areas such as Somerset and Essex, reorients the assessment process around rapid, person-led dialogue and early intervention (SCIE, 2021). Practitioners are supported to co-develop solutions without defaulting to traditional service-led responses. Evaluations of the model show increased staff autonomy, higher user satisfaction, and greater uptake of direct payments (Stevens et al, 2024; Local Government Association, 2022).</w:t>
      </w:r>
    </w:p>
    <w:p w14:paraId="4E522BCF" w14:textId="2AA816D4" w:rsidR="000D34DF" w:rsidRPr="009A2849" w:rsidRDefault="000D34DF" w:rsidP="000D34DF">
      <w:pPr>
        <w:spacing w:line="360" w:lineRule="auto"/>
        <w:jc w:val="both"/>
        <w:rPr>
          <w:rFonts w:cstheme="minorHAnsi"/>
          <w:sz w:val="24"/>
          <w:szCs w:val="24"/>
        </w:rPr>
      </w:pPr>
      <w:r w:rsidRPr="009A2849">
        <w:rPr>
          <w:rFonts w:cstheme="minorHAnsi"/>
          <w:sz w:val="24"/>
          <w:szCs w:val="24"/>
        </w:rPr>
        <w:t>In tandem with these internal reforms, the integration of independent support brokers has been identified as a vital component of an effective direct payments ecosystem. While brokers are often external to statutory teams, they play a crucial role in helping individuals to navigate their options, understand the responsibilities of managing a budget, and recruit or coordinate personal assistants (Riddell, 2006; Damant, 2020). Their presence relieves pressure on social workers and ensures that individuals receive ongoing, tailored support. Evidence from areas that have embedded broker support within their local systems suggests it enhances accessibility, reduces administrative burden, and improves the overall user experience (Disability Rights UK, n.d. Damant, 2020).</w:t>
      </w:r>
    </w:p>
    <w:p w14:paraId="3883AC84" w14:textId="079F3077" w:rsidR="000D34DF" w:rsidRPr="009A2849" w:rsidRDefault="000D34DF" w:rsidP="000D34DF">
      <w:pPr>
        <w:spacing w:line="360" w:lineRule="auto"/>
        <w:jc w:val="both"/>
        <w:rPr>
          <w:rFonts w:cstheme="minorHAnsi"/>
          <w:sz w:val="24"/>
          <w:szCs w:val="24"/>
        </w:rPr>
      </w:pPr>
      <w:r w:rsidRPr="009A2849">
        <w:rPr>
          <w:rFonts w:cstheme="minorHAnsi"/>
          <w:sz w:val="24"/>
          <w:szCs w:val="24"/>
        </w:rPr>
        <w:t>Leadership also plays a central role in sustaining workforce transformation. Senior leaders and principal social workers are critical in setting expectations, aligning strategy, and modelling values-based practice. Programmes such as TLAP’s Leadership for Empowered Communities, developed in partnership with Collaborate CIC, have demonstrated that when senior leaders actively champion personalisation as a core organisational goal</w:t>
      </w:r>
      <w:r w:rsidR="007A0D4C" w:rsidRPr="009A2849">
        <w:rPr>
          <w:rFonts w:cstheme="minorHAnsi"/>
          <w:sz w:val="24"/>
          <w:szCs w:val="24"/>
        </w:rPr>
        <w:t xml:space="preserve">, </w:t>
      </w:r>
      <w:r w:rsidRPr="009A2849">
        <w:rPr>
          <w:rFonts w:cstheme="minorHAnsi"/>
          <w:sz w:val="24"/>
          <w:szCs w:val="24"/>
        </w:rPr>
        <w:t>rather than a policy obligation</w:t>
      </w:r>
      <w:r w:rsidR="007A0D4C" w:rsidRPr="009A2849">
        <w:rPr>
          <w:rFonts w:cstheme="minorHAnsi"/>
          <w:sz w:val="24"/>
          <w:szCs w:val="24"/>
        </w:rPr>
        <w:t xml:space="preserve">, </w:t>
      </w:r>
      <w:r w:rsidRPr="009A2849">
        <w:rPr>
          <w:rFonts w:cstheme="minorHAnsi"/>
          <w:sz w:val="24"/>
          <w:szCs w:val="24"/>
        </w:rPr>
        <w:t>workforce engagement deepens and cross-functional collaboration improves</w:t>
      </w:r>
      <w:r w:rsidR="007A0D4C" w:rsidRPr="009A2849">
        <w:rPr>
          <w:rFonts w:cstheme="minorHAnsi"/>
          <w:sz w:val="24"/>
          <w:szCs w:val="24"/>
        </w:rPr>
        <w:t xml:space="preserve"> LGA, 2025b)</w:t>
      </w:r>
      <w:r w:rsidRPr="009A2849">
        <w:rPr>
          <w:rFonts w:cstheme="minorHAnsi"/>
          <w:sz w:val="24"/>
          <w:szCs w:val="24"/>
        </w:rPr>
        <w:t>. Councils that participated in the programme reported greater alignment between commissioning and frontline practice, as well as more confident engagement with co-production (TLAP, 2015</w:t>
      </w:r>
      <w:r w:rsidR="007A0D4C" w:rsidRPr="009A2849">
        <w:rPr>
          <w:rFonts w:cstheme="minorHAnsi"/>
          <w:sz w:val="24"/>
          <w:szCs w:val="24"/>
        </w:rPr>
        <w:t>; LGA, 2025b</w:t>
      </w:r>
      <w:r w:rsidRPr="009A2849">
        <w:rPr>
          <w:rFonts w:cstheme="minorHAnsi"/>
          <w:sz w:val="24"/>
          <w:szCs w:val="24"/>
        </w:rPr>
        <w:t>).</w:t>
      </w:r>
    </w:p>
    <w:p w14:paraId="2E7E0EA8" w14:textId="77017911" w:rsidR="000D34DF" w:rsidRPr="009A2849" w:rsidRDefault="000D34DF" w:rsidP="000D34DF">
      <w:pPr>
        <w:spacing w:line="360" w:lineRule="auto"/>
        <w:jc w:val="both"/>
        <w:rPr>
          <w:rFonts w:cstheme="minorHAnsi"/>
          <w:sz w:val="24"/>
          <w:szCs w:val="24"/>
        </w:rPr>
      </w:pPr>
      <w:r w:rsidRPr="009A2849">
        <w:rPr>
          <w:rFonts w:cstheme="minorHAnsi"/>
          <w:sz w:val="24"/>
          <w:szCs w:val="24"/>
        </w:rPr>
        <w:lastRenderedPageBreak/>
        <w:t>Evidence from the change management literature further underscores the importance of distributed leadership approaches. When leadership is embedded across all levels</w:t>
      </w:r>
      <w:r w:rsidR="007A0D4C" w:rsidRPr="009A2849">
        <w:rPr>
          <w:rFonts w:cstheme="minorHAnsi"/>
          <w:sz w:val="24"/>
          <w:szCs w:val="24"/>
        </w:rPr>
        <w:t xml:space="preserve">, </w:t>
      </w:r>
      <w:r w:rsidRPr="009A2849">
        <w:rPr>
          <w:rFonts w:cstheme="minorHAnsi"/>
          <w:sz w:val="24"/>
          <w:szCs w:val="24"/>
        </w:rPr>
        <w:t>through roles such as team mentors, practice educators, and locality leads—organisations are better equipped to embed personalisation into everyday practice and maintain momentum for change</w:t>
      </w:r>
      <w:r w:rsidR="007A0D4C" w:rsidRPr="009A2849">
        <w:rPr>
          <w:rFonts w:cstheme="minorHAnsi"/>
          <w:sz w:val="24"/>
          <w:szCs w:val="24"/>
        </w:rPr>
        <w:t xml:space="preserve"> (Currie and Lockett, 2011)</w:t>
      </w:r>
      <w:r w:rsidRPr="009A2849">
        <w:rPr>
          <w:rFonts w:cstheme="minorHAnsi"/>
          <w:sz w:val="24"/>
          <w:szCs w:val="24"/>
        </w:rPr>
        <w:t>. These roles help to translate strategic intent into operational reality, provide visible leadership at the point of care, and support peers in navigating complex decisions.</w:t>
      </w:r>
    </w:p>
    <w:p w14:paraId="3D0DA515" w14:textId="77777777" w:rsidR="00CF2923" w:rsidRPr="009A2849" w:rsidRDefault="00CF2923" w:rsidP="00CF2923">
      <w:pPr>
        <w:spacing w:after="0"/>
        <w:rPr>
          <w:rFonts w:cstheme="minorHAnsi"/>
          <w:sz w:val="24"/>
          <w:szCs w:val="24"/>
        </w:rPr>
      </w:pPr>
    </w:p>
    <w:p w14:paraId="19FB4966" w14:textId="2303D717" w:rsidR="00FD5419" w:rsidRPr="009A2849" w:rsidRDefault="000D34DF" w:rsidP="00E324C5">
      <w:pPr>
        <w:pStyle w:val="Heading1"/>
        <w:spacing w:after="0"/>
      </w:pPr>
      <w:r w:rsidRPr="00E324C5">
        <w:rPr>
          <w:rFonts w:asciiTheme="minorHAnsi" w:hAnsiTheme="minorHAnsi" w:cstheme="minorHAnsi"/>
          <w:b/>
          <w:bCs/>
          <w:sz w:val="24"/>
          <w:szCs w:val="24"/>
        </w:rPr>
        <w:t>Creating a Change Culture to Empower individuals Receiving Direct Payments:</w:t>
      </w:r>
    </w:p>
    <w:p w14:paraId="31DE3067" w14:textId="2BFEE242" w:rsidR="000D34DF" w:rsidRPr="009A2849" w:rsidRDefault="000D34DF" w:rsidP="000D34DF">
      <w:pPr>
        <w:spacing w:line="360" w:lineRule="auto"/>
        <w:jc w:val="both"/>
        <w:rPr>
          <w:rFonts w:cstheme="minorHAnsi"/>
          <w:sz w:val="24"/>
          <w:szCs w:val="24"/>
        </w:rPr>
      </w:pPr>
      <w:r w:rsidRPr="009A2849">
        <w:rPr>
          <w:rFonts w:cstheme="minorHAnsi"/>
          <w:sz w:val="24"/>
          <w:szCs w:val="24"/>
        </w:rPr>
        <w:t>The implementation of direct payments in adult social care is not solely a matter of legislation, operational delivery, or administrative efficiency. The evidence consistently indicates that it is, at its core, a cultural endeavour. The success of direct payments relies on the development of a culture that authentically supports personalisation, embeds co-production, and centres the empowerment of individuals, rather than maintaining rigid, service-led paradigms. Research shows that such a culture must be reflected not only in policy rhetoric but also in the values, behaviours, and day-to-day practices that shape frontline work, leadership, and organisational systems (TLAP, 2022a; Needham, 2024).</w:t>
      </w:r>
    </w:p>
    <w:p w14:paraId="23935EA4" w14:textId="6C3AC648" w:rsidR="000D34DF" w:rsidRPr="009A2849" w:rsidRDefault="000D34DF" w:rsidP="000D34DF">
      <w:pPr>
        <w:spacing w:line="360" w:lineRule="auto"/>
        <w:jc w:val="both"/>
        <w:rPr>
          <w:rFonts w:cstheme="minorHAnsi"/>
          <w:sz w:val="24"/>
          <w:szCs w:val="24"/>
        </w:rPr>
      </w:pPr>
      <w:r w:rsidRPr="009A2849">
        <w:rPr>
          <w:rFonts w:cstheme="minorHAnsi"/>
          <w:sz w:val="24"/>
          <w:szCs w:val="24"/>
        </w:rPr>
        <w:t>A central value underpinning a culture of empowerment is self-determination. The evidence demonstrates that when organisations genuinely uphold the principle that all individuals, regardless of disability, age, or health condition, have the right and capacity to make decisions about their own lives, outcomes consistently improve across areas such as satisfaction, autonomy, and wellbeing (Carr, 2014; TLAP, 2022). This ethos of self-determination stands in direct contrast to the residual paternalism that remains embedded in many areas of adult social care, where professionals are still positioned as gatekeepers rather than enablers of choice.</w:t>
      </w:r>
    </w:p>
    <w:p w14:paraId="5E3B7860" w14:textId="25D59CDD"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In parallel, a shift from deficit-based to strengths-based approaches has been widely identified in the literature as fundamental to cultural transformation (Department of Health and Social Care 2018; Caiels et al., 2021). Rather than focusing on what individuals cannot do, strengths-based practice emphasises people’s capabilities, aspirations, and the support </w:t>
      </w:r>
      <w:r w:rsidRPr="009A2849">
        <w:rPr>
          <w:rFonts w:cstheme="minorHAnsi"/>
          <w:sz w:val="24"/>
          <w:szCs w:val="24"/>
        </w:rPr>
        <w:lastRenderedPageBreak/>
        <w:t xml:space="preserve">networks that already exist around them (Blood and Guthrie, 2018; SCIE, 2015). Blood and Guthrie, (2018) argue that this perspective is essential for delivering truly person-centred care, as it recasts the individual as the lead author of their own care journey. Case evidence from </w:t>
      </w:r>
      <w:r w:rsidRPr="009A2849">
        <w:rPr>
          <w:rFonts w:cstheme="minorHAnsi"/>
          <w:color w:val="000000" w:themeColor="text1"/>
          <w:sz w:val="24"/>
          <w:szCs w:val="24"/>
        </w:rPr>
        <w:t>Wigan Council illustrates how this approach can be operationalised through whole-system transformation. Under the Wigan Deal, the council reimagined the relationship between citizens and the state by investing in community assets, trusting residents to take more control over their lives, and embedding strengths-based principles across all levels of social care (Naylor and Wellings, 2019).</w:t>
      </w:r>
      <w:r w:rsidRPr="009A2849">
        <w:rPr>
          <w:rFonts w:cstheme="minorHAnsi"/>
          <w:color w:val="FF0000"/>
          <w:sz w:val="24"/>
          <w:szCs w:val="24"/>
        </w:rPr>
        <w:t xml:space="preserve"> </w:t>
      </w:r>
      <w:r w:rsidRPr="009A2849">
        <w:rPr>
          <w:rFonts w:cstheme="minorHAnsi"/>
          <w:sz w:val="24"/>
          <w:szCs w:val="24"/>
        </w:rPr>
        <w:t>Studies suggest that this cultural reframing has led to increased user trust, enhanced practitioner autonomy, and greater uptake of direct payments (Needham &amp; Carr, 2021).</w:t>
      </w:r>
    </w:p>
    <w:p w14:paraId="6E51DEB7" w14:textId="15706B3D" w:rsidR="000D34DF" w:rsidRPr="009A2849" w:rsidRDefault="000D34DF" w:rsidP="000D34DF">
      <w:pPr>
        <w:spacing w:line="360" w:lineRule="auto"/>
        <w:jc w:val="both"/>
        <w:rPr>
          <w:rFonts w:cstheme="minorHAnsi"/>
          <w:sz w:val="24"/>
          <w:szCs w:val="24"/>
        </w:rPr>
      </w:pPr>
      <w:r w:rsidRPr="009A2849">
        <w:rPr>
          <w:rFonts w:cstheme="minorHAnsi"/>
          <w:sz w:val="24"/>
          <w:szCs w:val="24"/>
        </w:rPr>
        <w:t>The evidence also highlights the critical role of co-production in building a culture of empowerment. In systems where individuals with lived experience are positioned not merely as service recipients but as co-designers, co-deliverers, and co-evaluators of services, direct payments are more likely to reflect real-life needs and aspirations. Research by the Social Care Institute for Excellence (SCIE, 2015) stresses that co-production must go beyond tokenistic consultation and become an embedded, ongoing partnership that requires cultural humility and appropriate structural support. TLAP’s "Making It Real" framework has emerged as a widely adopted mechanism for embedding co-production values within local care systems, enabling councils and providers to assess progress, engage meaningfully with communities, and ensure services reflect lived realities (TLAP, 2022).</w:t>
      </w:r>
    </w:p>
    <w:p w14:paraId="277C32CF" w14:textId="59E81562"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Risk and control also emerge as defining cultural dimensions in the success or failure of direct payments. The Centre for Care (Needham, 2024) identifies disproportionate scrutiny, excessive auditing, and fear-based approaches to safeguarding as significant deterrents to the wider uptake and meaningful use of direct payments. The evidence points to the need for a shift towards positive risk-taking and proportionate oversight, where the emphasis is placed on enabling individual freedom while maintaining appropriate levels of support. Research by Manthorpe and Samsi (2016) supports this approach, advocating for a move away from restrictive protocols towards risk management models that build trust, promote flexibility, </w:t>
      </w:r>
      <w:r w:rsidRPr="009A2849">
        <w:rPr>
          <w:rFonts w:cstheme="minorHAnsi"/>
          <w:sz w:val="24"/>
          <w:szCs w:val="24"/>
        </w:rPr>
        <w:lastRenderedPageBreak/>
        <w:t>and recognise the rights of individuals to make informed choices, even when those involve uncertainty.</w:t>
      </w:r>
    </w:p>
    <w:p w14:paraId="7A944CAD" w14:textId="14CEBAFC" w:rsidR="000D34DF" w:rsidRPr="009A2849" w:rsidRDefault="000D34DF" w:rsidP="000D34DF">
      <w:pPr>
        <w:spacing w:line="360" w:lineRule="auto"/>
        <w:jc w:val="both"/>
        <w:rPr>
          <w:rFonts w:cstheme="minorHAnsi"/>
          <w:sz w:val="24"/>
          <w:szCs w:val="24"/>
        </w:rPr>
      </w:pPr>
      <w:r w:rsidRPr="009A2849">
        <w:rPr>
          <w:rFonts w:cstheme="minorHAnsi"/>
          <w:sz w:val="24"/>
          <w:szCs w:val="24"/>
        </w:rPr>
        <w:t>Alongside system-level structures, the attitudes and behaviours of practitioners are central to shaping cultures of empowerment. The literature shows that practitioners who approach their work as relational, enabling, and values-driven are more likely to support individuals in exploring and using direct payments effectively (Watson, 2025). In contrast, where staff perceive their role primarily as enforcing eligibility criteria or managing risk, the option of direct payments is often presented with caveats or not offered at all. Studies highlight that relational practice, reflective supervision, and the promotion of professional judgement are essential to supporting frontline workers in engaging more person-centred approaches.</w:t>
      </w:r>
    </w:p>
    <w:p w14:paraId="2B7705B8" w14:textId="37894783" w:rsidR="000D34DF" w:rsidRPr="009A2849" w:rsidRDefault="000D34DF" w:rsidP="000D34DF">
      <w:pPr>
        <w:spacing w:line="360" w:lineRule="auto"/>
        <w:jc w:val="both"/>
        <w:rPr>
          <w:rFonts w:cstheme="minorHAnsi"/>
          <w:sz w:val="24"/>
          <w:szCs w:val="24"/>
        </w:rPr>
      </w:pPr>
      <w:r w:rsidRPr="009A2849">
        <w:rPr>
          <w:rFonts w:cstheme="minorHAnsi"/>
          <w:sz w:val="24"/>
          <w:szCs w:val="24"/>
        </w:rPr>
        <w:t>Organisational learning and feedback mechanisms are also identified as key enablers of culture change. Councils such as Barnsley and Sheffield have implemented peer-led audits, continuous feedback loops, and structured opportunities for service user involvement in strategic planning. These initiatives reflect a shift from top-down reform to iterative, co-developed change processes grounded in lived experience (Local Government Association, 2021; Sheffield City Council, 2020). According to Schein (2017), effective cultural change requires psychological safety, a condition in which both staff and people who draw on care and support feel able to speak up, challenge norms, and contribute new ideas without fear of reprisal. Evidence shows that organisations that foster a culture of learning rather than blame are more responsive, adaptive, and innovative in their approach to direct payments.</w:t>
      </w:r>
    </w:p>
    <w:p w14:paraId="10232B07" w14:textId="3ABA0F8D" w:rsidR="000D34DF" w:rsidRPr="009A2849" w:rsidRDefault="000D34DF" w:rsidP="000D34DF">
      <w:pPr>
        <w:spacing w:line="360" w:lineRule="auto"/>
        <w:jc w:val="both"/>
        <w:rPr>
          <w:rFonts w:cstheme="minorHAnsi"/>
          <w:sz w:val="24"/>
          <w:szCs w:val="24"/>
        </w:rPr>
      </w:pPr>
      <w:r w:rsidRPr="009A2849">
        <w:rPr>
          <w:rFonts w:cstheme="minorHAnsi"/>
          <w:sz w:val="24"/>
          <w:szCs w:val="24"/>
        </w:rPr>
        <w:t>Leadership plays a pivotal role in modelling and embedding the values that support direct payment cultures. Studies underscore the impact of transformational and distributed leadership approaches in building staff confidence, aligning policy and practice, and maintaining momentum for change</w:t>
      </w:r>
      <w:r w:rsidR="00900A9D" w:rsidRPr="009A2849">
        <w:rPr>
          <w:rFonts w:cstheme="minorHAnsi"/>
          <w:sz w:val="24"/>
          <w:szCs w:val="24"/>
        </w:rPr>
        <w:t xml:space="preserve"> (LGA, 2025b)</w:t>
      </w:r>
      <w:r w:rsidRPr="009A2849">
        <w:rPr>
          <w:rFonts w:cstheme="minorHAnsi"/>
          <w:sz w:val="24"/>
          <w:szCs w:val="24"/>
        </w:rPr>
        <w:t>. Programmes such as TLAP’s Leadership for Empowered Communities have demonstrated that when senior leaders prioritise personalisation, engage with communities, and align organisational strategy with person-centred values, they create the conditions for meaningful, lasting change (TLAP, 2015; SCIE, 2021). Moreover, local authorities that invest in leadership at every level</w:t>
      </w:r>
      <w:r w:rsidR="00900A9D" w:rsidRPr="009A2849">
        <w:rPr>
          <w:rFonts w:cstheme="minorHAnsi"/>
          <w:sz w:val="24"/>
          <w:szCs w:val="24"/>
        </w:rPr>
        <w:t xml:space="preserve">, </w:t>
      </w:r>
      <w:r w:rsidRPr="009A2849">
        <w:rPr>
          <w:rFonts w:cstheme="minorHAnsi"/>
          <w:sz w:val="24"/>
          <w:szCs w:val="24"/>
        </w:rPr>
        <w:t xml:space="preserve">through roles such </w:t>
      </w:r>
      <w:r w:rsidRPr="009A2849">
        <w:rPr>
          <w:rFonts w:cstheme="minorHAnsi"/>
          <w:sz w:val="24"/>
          <w:szCs w:val="24"/>
        </w:rPr>
        <w:lastRenderedPageBreak/>
        <w:t>as practice educators, locality leads, and champions</w:t>
      </w:r>
      <w:r w:rsidR="00900A9D" w:rsidRPr="009A2849">
        <w:rPr>
          <w:rFonts w:cstheme="minorHAnsi"/>
          <w:sz w:val="24"/>
          <w:szCs w:val="24"/>
        </w:rPr>
        <w:t xml:space="preserve">, </w:t>
      </w:r>
      <w:r w:rsidRPr="009A2849">
        <w:rPr>
          <w:rFonts w:cstheme="minorHAnsi"/>
          <w:sz w:val="24"/>
          <w:szCs w:val="24"/>
        </w:rPr>
        <w:t>are more likely to embed empowerment values throughout their workforce</w:t>
      </w:r>
      <w:r w:rsidR="00900A9D" w:rsidRPr="009A2849">
        <w:rPr>
          <w:rFonts w:cstheme="minorHAnsi"/>
          <w:sz w:val="24"/>
          <w:szCs w:val="24"/>
        </w:rPr>
        <w:t xml:space="preserve"> (LGA, 2025b)</w:t>
      </w:r>
      <w:r w:rsidRPr="009A2849">
        <w:rPr>
          <w:rFonts w:cstheme="minorHAnsi"/>
          <w:sz w:val="24"/>
          <w:szCs w:val="24"/>
        </w:rPr>
        <w:t>.</w:t>
      </w:r>
    </w:p>
    <w:p w14:paraId="341E2F81" w14:textId="73606CA1" w:rsidR="000D34DF" w:rsidRPr="009A2849" w:rsidRDefault="000D34DF" w:rsidP="000D34DF">
      <w:pPr>
        <w:spacing w:line="360" w:lineRule="auto"/>
        <w:jc w:val="both"/>
        <w:rPr>
          <w:rFonts w:cstheme="minorHAnsi"/>
          <w:sz w:val="24"/>
          <w:szCs w:val="24"/>
        </w:rPr>
      </w:pPr>
      <w:r w:rsidRPr="009A2849">
        <w:rPr>
          <w:rFonts w:cstheme="minorHAnsi"/>
          <w:sz w:val="24"/>
          <w:szCs w:val="24"/>
        </w:rPr>
        <w:t>Finally, the evidence points to the necessity of aligning organisational infrastructure with cultural goals. Even where values and behaviours support empowerment, system-level misalignment can obstruct progress. This includes commissioning models that prioritise block contracts over individual choice, assessment frameworks that focus on needs rather than outcomes, and monitoring tools that privilege compliance over impact. Councils such as Gloucestershire have sought to address this by integrating personal outcomes into performance systems, enabling greater transparency about how direct payments support people to live the lives they choose (Gloucestershire County Council, 2022).</w:t>
      </w:r>
    </w:p>
    <w:p w14:paraId="53E15D51" w14:textId="7A3FAD3F" w:rsidR="008317F7" w:rsidRPr="009A2849" w:rsidRDefault="000D34DF" w:rsidP="00900A9D">
      <w:pPr>
        <w:spacing w:line="360" w:lineRule="auto"/>
        <w:jc w:val="both"/>
        <w:rPr>
          <w:rFonts w:cstheme="minorHAnsi"/>
          <w:sz w:val="24"/>
          <w:szCs w:val="24"/>
        </w:rPr>
      </w:pPr>
      <w:r w:rsidRPr="009A2849">
        <w:rPr>
          <w:rFonts w:cstheme="minorHAnsi"/>
          <w:sz w:val="24"/>
          <w:szCs w:val="24"/>
        </w:rPr>
        <w:t xml:space="preserve"> The development of a culture that supports the empowerment of individuals through direct payments requires more than commitment to policy compliance; it requires a sustained investment in values, behaviours, and systems that centre autonomy, relational practice, and co-production. The evidence clearly shows that when professionals are supported to act as enablers rather than gatekeepers, when individuals are treated as experts in their own lives, and when organisations are willing to share control and embrace innovation, direct payments can become a transformative force in adult social care. Cultural change, in this context, is not an optional add-on</w:t>
      </w:r>
      <w:r w:rsidR="00900A9D" w:rsidRPr="009A2849">
        <w:rPr>
          <w:rFonts w:cstheme="minorHAnsi"/>
          <w:sz w:val="24"/>
          <w:szCs w:val="24"/>
        </w:rPr>
        <w:t xml:space="preserve">, </w:t>
      </w:r>
      <w:r w:rsidRPr="009A2849">
        <w:rPr>
          <w:rFonts w:cstheme="minorHAnsi"/>
          <w:sz w:val="24"/>
          <w:szCs w:val="24"/>
        </w:rPr>
        <w:t>it is the foundation upon which successful personalisation is built.</w:t>
      </w:r>
    </w:p>
    <w:p w14:paraId="4AC02517" w14:textId="77777777" w:rsidR="00842237" w:rsidRPr="009A2849" w:rsidRDefault="00842237" w:rsidP="00CF2923">
      <w:pPr>
        <w:spacing w:after="0"/>
        <w:rPr>
          <w:rFonts w:cstheme="minorHAnsi"/>
          <w:kern w:val="2"/>
          <w:sz w:val="24"/>
          <w:szCs w:val="24"/>
          <w14:ligatures w14:val="standardContextual"/>
        </w:rPr>
      </w:pPr>
    </w:p>
    <w:p w14:paraId="6C2E8B44" w14:textId="1B05BC12" w:rsidR="000D34DF" w:rsidRPr="009A2849" w:rsidRDefault="000D34DF" w:rsidP="00D05E64">
      <w:pPr>
        <w:pStyle w:val="Heading1"/>
        <w:spacing w:after="0"/>
      </w:pPr>
      <w:r w:rsidRPr="00D05E64">
        <w:rPr>
          <w:rFonts w:asciiTheme="minorHAnsi" w:hAnsiTheme="minorHAnsi" w:cstheme="minorHAnsi"/>
          <w:b/>
          <w:bCs/>
          <w:sz w:val="24"/>
          <w:szCs w:val="24"/>
        </w:rPr>
        <w:t>Reshaping Local Systems to Embed Flexibility, Choice and Control in Direct Payments</w:t>
      </w:r>
    </w:p>
    <w:p w14:paraId="71A71730" w14:textId="30B99310" w:rsidR="000D34DF" w:rsidRPr="009A2849" w:rsidRDefault="000D34DF" w:rsidP="000D34DF">
      <w:pPr>
        <w:spacing w:line="360" w:lineRule="auto"/>
        <w:jc w:val="both"/>
        <w:rPr>
          <w:rFonts w:cstheme="minorHAnsi"/>
          <w:sz w:val="24"/>
          <w:szCs w:val="24"/>
        </w:rPr>
      </w:pPr>
      <w:r w:rsidRPr="009A2849">
        <w:rPr>
          <w:rFonts w:cstheme="minorHAnsi"/>
          <w:sz w:val="24"/>
          <w:szCs w:val="24"/>
        </w:rPr>
        <w:t>Reshaping how direct payments are offered, communicated, and supported within local systems involves a far-reaching transformation, one that goes well beyond procedural reform. To fully realise the potential of direct payments, local authorities must redesign services around the principles of autonomy, trust, and user-led innovation (</w:t>
      </w:r>
      <w:r w:rsidR="00900A9D" w:rsidRPr="009A2849">
        <w:rPr>
          <w:rFonts w:cstheme="minorHAnsi"/>
          <w:sz w:val="24"/>
          <w:szCs w:val="24"/>
        </w:rPr>
        <w:t xml:space="preserve">LGA, 2025b; </w:t>
      </w:r>
      <w:r w:rsidRPr="009A2849">
        <w:rPr>
          <w:rFonts w:cstheme="minorHAnsi"/>
          <w:sz w:val="24"/>
          <w:szCs w:val="24"/>
        </w:rPr>
        <w:t>Watson, 2025). This transformation requires attention to how information is conveyed, how systems are navigated, and how power is shared between individuals and professionals. Embedding flexibility, choice, and control across these dimensions involves structural change, genuine co-production, and a fundamental shift from service delivery to outcomes-based support.</w:t>
      </w:r>
    </w:p>
    <w:p w14:paraId="2E6F4979" w14:textId="5A4B920C" w:rsidR="000D34DF" w:rsidRPr="009A2849" w:rsidRDefault="000D34DF" w:rsidP="000D34DF">
      <w:pPr>
        <w:spacing w:line="360" w:lineRule="auto"/>
        <w:jc w:val="both"/>
        <w:rPr>
          <w:rFonts w:cstheme="minorHAnsi"/>
          <w:sz w:val="24"/>
          <w:szCs w:val="24"/>
        </w:rPr>
      </w:pPr>
      <w:r w:rsidRPr="009A2849">
        <w:rPr>
          <w:rFonts w:cstheme="minorHAnsi"/>
          <w:sz w:val="24"/>
          <w:szCs w:val="24"/>
        </w:rPr>
        <w:lastRenderedPageBreak/>
        <w:t>One of the most persistent obstacles to effective direct payments implementation is the inconsistent and often inaccessible way information is communicated. Numerous studies have shown that the guidance people receive about direct payments is frequently unclear, overly complex, or inconsistently delivered by frontline professionals (Tawodzera et al, 2025, Watson, 2025). As a result, individuals are left confused, disempowered, or unaware of their entitlements (Woolham et al., 2019; Glasby &amp; Littlechild, 2016). This challenge is especially acute for people with learning disabilities, mental health conditions, or limited digital literacy, or those from racially minoritized backgrounds, for whom the administrative and eligibility processes can serve as barriers rather than enablers. The Local Government and Social Care Ombudsman (2020) has repeatedly highlighted communication failures among councils, including insufficient explanation of available options, lack of materials in Easy Read or other accessible formats, and inadequate engagement during early stages of care planning.</w:t>
      </w:r>
    </w:p>
    <w:p w14:paraId="207BABBF" w14:textId="46630910" w:rsidR="000D34DF" w:rsidRPr="009A2849" w:rsidRDefault="000D34DF" w:rsidP="000D34DF">
      <w:pPr>
        <w:spacing w:line="360" w:lineRule="auto"/>
        <w:jc w:val="both"/>
        <w:rPr>
          <w:rFonts w:cstheme="minorHAnsi"/>
          <w:sz w:val="24"/>
          <w:szCs w:val="24"/>
        </w:rPr>
      </w:pPr>
      <w:r w:rsidRPr="009A2849">
        <w:rPr>
          <w:rFonts w:cstheme="minorHAnsi"/>
          <w:sz w:val="24"/>
          <w:szCs w:val="24"/>
        </w:rPr>
        <w:t>In response, some local authorities have redesigned their communication strategies through co-production with disabled people and carers, resulting in more accessible and engaging information. For example, Essex County Council collaborated with local disabled people’s organisations to create video explainers and interactive tools that demystify the direct payments process, leading to greater uptake and improved user satisfaction (TLAP, 2022). In a similar vein, Leeds City Council has introduced peer-led support sessions, allowing experienced direct payment users to share insights with new recipients, building trust and clarity through lived experience (</w:t>
      </w:r>
      <w:r w:rsidR="00900A9D" w:rsidRPr="009A2849">
        <w:rPr>
          <w:rFonts w:cstheme="minorHAnsi"/>
          <w:sz w:val="24"/>
          <w:szCs w:val="24"/>
        </w:rPr>
        <w:t>Leeds.gov</w:t>
      </w:r>
      <w:r w:rsidRPr="009A2849">
        <w:rPr>
          <w:rFonts w:cstheme="minorHAnsi"/>
          <w:sz w:val="24"/>
          <w:szCs w:val="24"/>
        </w:rPr>
        <w:t>).</w:t>
      </w:r>
    </w:p>
    <w:p w14:paraId="7FC330CC" w14:textId="155F8D48"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Alongside improved communication, meaningful change requires reimagining how people access direct payments in the first place. Many systems continue to present direct payments as an alternative to traditional services, an exception rather than a default. This reinforces professional control and can discourage personalised decision-making. A values-driven system begins with different questions, not “What services do we offer?” but “What does a good life look like for you, and how can support help you achieve it?” (SCIE, 2022) This person-centred framing is evident in the Three Conversations Model, trialled in authorities such as </w:t>
      </w:r>
      <w:r w:rsidR="00900A9D" w:rsidRPr="009A2849">
        <w:rPr>
          <w:rFonts w:cstheme="minorHAnsi"/>
          <w:sz w:val="24"/>
          <w:szCs w:val="24"/>
        </w:rPr>
        <w:t xml:space="preserve">Cambridgeshire, Birmingham, </w:t>
      </w:r>
      <w:r w:rsidRPr="009A2849">
        <w:rPr>
          <w:rFonts w:cstheme="minorHAnsi"/>
          <w:sz w:val="24"/>
          <w:szCs w:val="24"/>
        </w:rPr>
        <w:t xml:space="preserve">Leeds and Oxfordshire. It replaces bureaucratic assessments </w:t>
      </w:r>
      <w:r w:rsidRPr="009A2849">
        <w:rPr>
          <w:rFonts w:cstheme="minorHAnsi"/>
          <w:sz w:val="24"/>
          <w:szCs w:val="24"/>
        </w:rPr>
        <w:lastRenderedPageBreak/>
        <w:t>with collaborative, strengths-based dialogue designed to unlock community assets and enable flexible, self-directed support planning (</w:t>
      </w:r>
      <w:r w:rsidR="00900A9D" w:rsidRPr="009A2849">
        <w:rPr>
          <w:rFonts w:cstheme="minorHAnsi"/>
          <w:sz w:val="24"/>
          <w:szCs w:val="24"/>
        </w:rPr>
        <w:t>Stevens, 2024</w:t>
      </w:r>
      <w:r w:rsidRPr="009A2849">
        <w:rPr>
          <w:rFonts w:cstheme="minorHAnsi"/>
          <w:sz w:val="24"/>
          <w:szCs w:val="24"/>
        </w:rPr>
        <w:t>).</w:t>
      </w:r>
    </w:p>
    <w:p w14:paraId="2BA8900E" w14:textId="0DBBB523" w:rsidR="000D34DF" w:rsidRPr="009A2849" w:rsidRDefault="000D34DF" w:rsidP="000D34DF">
      <w:pPr>
        <w:spacing w:line="360" w:lineRule="auto"/>
        <w:jc w:val="both"/>
        <w:rPr>
          <w:rFonts w:cstheme="minorHAnsi"/>
          <w:sz w:val="24"/>
          <w:szCs w:val="24"/>
        </w:rPr>
      </w:pPr>
      <w:r w:rsidRPr="009A2849">
        <w:rPr>
          <w:rFonts w:cstheme="minorHAnsi"/>
          <w:sz w:val="24"/>
          <w:szCs w:val="24"/>
        </w:rPr>
        <w:t>The Wigan Deal for Adult Social Care offers a well-documented example of what such transformation can look like in practice. By reframing professional relationships around mutual trust, strengths, and shared responsibility, Wigan reoriented its system away from transactional service provision and towards relational support (Naylor and Wellings, 2019). Direct payments were positioned as a vehicle for empowerment rather than a funding mechanism. Evaluations of this model reported improved wellbeing, greater satisfaction, and reduced overall expenditure, outcomes that reflect the benefits of a trust-based, person-led approach (Naylor and Wellings, 2019).</w:t>
      </w:r>
    </w:p>
    <w:p w14:paraId="4C878592" w14:textId="7520B91B" w:rsidR="000D34DF" w:rsidRPr="009A2849" w:rsidRDefault="000D34DF" w:rsidP="000D34DF">
      <w:pPr>
        <w:spacing w:line="360" w:lineRule="auto"/>
        <w:jc w:val="both"/>
        <w:rPr>
          <w:rFonts w:cstheme="minorHAnsi"/>
          <w:sz w:val="24"/>
          <w:szCs w:val="24"/>
        </w:rPr>
      </w:pPr>
      <w:r w:rsidRPr="009A2849">
        <w:rPr>
          <w:rFonts w:cstheme="minorHAnsi"/>
          <w:sz w:val="24"/>
          <w:szCs w:val="24"/>
        </w:rPr>
        <w:t>Supporting people to manage direct payments on an ongoing basis also demands robust infrastructure. The administrative tasks associated with personal budgets—employing personal assistants, managing payroll, meeting legal obligations—can be overwhelming, particularly without sustained guidance (Watson, 2025). Evidence has consistently shown that access to high-quality, independent support services, often delivered by user-led organisations, improves continuity of care and reduces breakdowns (Glasby &amp; Littlechild, 2009; Baxter et al., 2020). Nottinghamshire County Council has formalised this support through co-commissioning arrangements with a local disabled people’s organisation, which provides training, mentoring, and legal advice. This model has improved PA recruitment and retention, reduced safeguarding incidents, and increased user confidence (SCIE, 2019).</w:t>
      </w:r>
    </w:p>
    <w:p w14:paraId="7B291D9E" w14:textId="036A4643" w:rsidR="000D34DF" w:rsidRPr="009A2849" w:rsidRDefault="000D34DF" w:rsidP="000D34DF">
      <w:pPr>
        <w:spacing w:line="360" w:lineRule="auto"/>
        <w:jc w:val="both"/>
        <w:rPr>
          <w:rFonts w:cstheme="minorHAnsi"/>
          <w:sz w:val="24"/>
          <w:szCs w:val="24"/>
        </w:rPr>
      </w:pPr>
      <w:r w:rsidRPr="009A2849">
        <w:rPr>
          <w:rFonts w:cstheme="minorHAnsi"/>
          <w:sz w:val="24"/>
          <w:szCs w:val="24"/>
        </w:rPr>
        <w:t>Local systems must also respond more effectively to the needs of marginalised or underrepresented communities. A review by Tawodzera et al. (2025) highlights the disproportionately low uptake of direct payments among Black, Asian, and minority ethnic groups, often stemming from mistrust in services and a lack of culturally appropriate support. In response, Tower Hamlets Council has worked with grassroots organisations to develop tailored engagement strategies and culturally adapted materials. These efforts have led to increased uptake and stronger community relationships (Race Equality Foundation, 2022), reinforcing the importance of inclusive system design.</w:t>
      </w:r>
    </w:p>
    <w:p w14:paraId="1790DDD2" w14:textId="1F1618C9" w:rsidR="000D34DF" w:rsidRPr="009A2849" w:rsidRDefault="000D34DF" w:rsidP="000D34DF">
      <w:pPr>
        <w:spacing w:line="360" w:lineRule="auto"/>
        <w:jc w:val="both"/>
        <w:rPr>
          <w:rFonts w:cstheme="minorHAnsi"/>
          <w:sz w:val="24"/>
          <w:szCs w:val="24"/>
        </w:rPr>
      </w:pPr>
      <w:r w:rsidRPr="009A2849">
        <w:rPr>
          <w:rFonts w:cstheme="minorHAnsi"/>
          <w:sz w:val="24"/>
          <w:szCs w:val="24"/>
        </w:rPr>
        <w:lastRenderedPageBreak/>
        <w:t>Flexibility in the use of direct payments is also shaped by the diversity and responsiveness of the local care market. In many areas, commissioning practices continue to favour large providers and standardised services, restricting individuals’ ability to make creative or community-based choices (Watson, 2025). Councils such as Somerset and Shropshire have worked to develop more diverse markets by actively supporting the growth of micro-enterprises and self-employed personal assistants. Through start-up grants, business development support, and simplified registration processes, these authorities have nurtured a more flexible and locally rooted support offer. Individuals in these areas report greater satisfaction, more tailored support, and improved continuity of care (LGA, 2021; TLAP, 2020). Evidence from Think Local Act Personal (2020) affirms that where micro-provider networks are strong, outcomes for direct payment users tend to be more positive and sustainable.</w:t>
      </w:r>
    </w:p>
    <w:p w14:paraId="5EC09D69" w14:textId="2DC1A373" w:rsidR="000D34DF" w:rsidRPr="009A2849" w:rsidRDefault="000D34DF" w:rsidP="000D34DF">
      <w:pPr>
        <w:spacing w:line="360" w:lineRule="auto"/>
        <w:jc w:val="both"/>
        <w:rPr>
          <w:rFonts w:cstheme="minorHAnsi"/>
          <w:sz w:val="24"/>
          <w:szCs w:val="24"/>
        </w:rPr>
      </w:pPr>
      <w:r w:rsidRPr="009A2849">
        <w:rPr>
          <w:rFonts w:cstheme="minorHAnsi"/>
          <w:sz w:val="24"/>
          <w:szCs w:val="24"/>
        </w:rPr>
        <w:t>Redesigning systems also means reconsidering how performance and accountability are understood. Traditional monitoring approaches often emphasise financial compliance above all else, placing a disproportionate administrative burden on people using direct payments. Requirements to submit receipts, logs, and care diaries can undermine autonomy and create a climate of mistrust, particularly when accompanied by threats of repayment or sanctions (Needham, 2024; Carr, 2014). Some councils are beginning to implement more proportionate oversight mechanisms, using risk-based models and relationship-based auditing to reduce unnecessary bureaucracy while maintaining public assurance. In Hammersmith and Fulham, for example, trust-based auditing has helped reduce administrative friction while still ensuring appropriate use of funds (LGSCO, 2020; TLAP, 2022).</w:t>
      </w:r>
    </w:p>
    <w:p w14:paraId="09546577" w14:textId="0C814184" w:rsidR="001C24D2" w:rsidRPr="009A2849" w:rsidRDefault="000D34DF" w:rsidP="000D34DF">
      <w:pPr>
        <w:spacing w:line="360" w:lineRule="auto"/>
        <w:jc w:val="both"/>
        <w:rPr>
          <w:rFonts w:cstheme="minorHAnsi"/>
          <w:sz w:val="24"/>
          <w:szCs w:val="24"/>
        </w:rPr>
      </w:pPr>
      <w:r w:rsidRPr="009A2849">
        <w:rPr>
          <w:rFonts w:cstheme="minorHAnsi"/>
          <w:sz w:val="24"/>
          <w:szCs w:val="24"/>
        </w:rPr>
        <w:t xml:space="preserve">Finally, a genuinely person-centred direct payments system must be underpinned by ongoing feedback and co-production. Local authorities that embed lived experience into governance and decision-making processes are better able to adapt and improve their offer. Barnsley Council’s Direct Payment Peer Forum exemplifies this approach: forum members contribute to training, policy development, and individual plan reviews, ensuring that reforms reflect real-world experience (Barnsley Council, 2021). Similarly, the Making It Real framework enables councils to measure progress through “I” statements that reflect what matters most </w:t>
      </w:r>
      <w:r w:rsidRPr="009A2849">
        <w:rPr>
          <w:rFonts w:cstheme="minorHAnsi"/>
          <w:sz w:val="24"/>
          <w:szCs w:val="24"/>
        </w:rPr>
        <w:lastRenderedPageBreak/>
        <w:t>to people drawing on care and support, making outcomes and experience central to system design (TLAP, 2022).</w:t>
      </w:r>
    </w:p>
    <w:p w14:paraId="55AFA0E2" w14:textId="77777777" w:rsidR="00CF2923" w:rsidRPr="009A2849" w:rsidRDefault="00CF2923" w:rsidP="00CF2923">
      <w:pPr>
        <w:spacing w:after="0"/>
        <w:rPr>
          <w:rFonts w:cstheme="minorHAnsi"/>
          <w:sz w:val="24"/>
          <w:szCs w:val="24"/>
        </w:rPr>
      </w:pPr>
    </w:p>
    <w:p w14:paraId="1ED9918B" w14:textId="1297D10C" w:rsidR="00D7356F" w:rsidRPr="00D05E64" w:rsidRDefault="00D7356F" w:rsidP="00CF2923">
      <w:pPr>
        <w:pStyle w:val="Heading1"/>
        <w:spacing w:after="0"/>
        <w:rPr>
          <w:rFonts w:asciiTheme="minorHAnsi" w:hAnsiTheme="minorHAnsi" w:cstheme="minorHAnsi"/>
          <w:b/>
          <w:bCs/>
          <w:sz w:val="24"/>
          <w:szCs w:val="24"/>
        </w:rPr>
      </w:pPr>
      <w:r w:rsidRPr="00D05E64">
        <w:rPr>
          <w:rFonts w:asciiTheme="minorHAnsi" w:hAnsiTheme="minorHAnsi" w:cstheme="minorHAnsi"/>
          <w:b/>
          <w:bCs/>
          <w:sz w:val="24"/>
          <w:szCs w:val="24"/>
        </w:rPr>
        <w:t>Conclusion</w:t>
      </w:r>
    </w:p>
    <w:p w14:paraId="74C4E11E" w14:textId="54197BC0" w:rsidR="000D34DF" w:rsidRPr="009A2849" w:rsidRDefault="000D34DF" w:rsidP="000D34DF">
      <w:pPr>
        <w:spacing w:line="360" w:lineRule="auto"/>
        <w:jc w:val="both"/>
        <w:rPr>
          <w:rFonts w:cstheme="minorHAnsi"/>
          <w:sz w:val="24"/>
          <w:szCs w:val="24"/>
        </w:rPr>
      </w:pPr>
      <w:r w:rsidRPr="009A2849">
        <w:rPr>
          <w:rFonts w:cstheme="minorHAnsi"/>
          <w:sz w:val="24"/>
          <w:szCs w:val="24"/>
        </w:rPr>
        <w:t>Direct payments hold the potential to fundamentally reshape the landscape of social care by placing power directly in the hands of individuals, enabling them to live lives rooted in dignity, autonomy, and self-determination. When used well, they offer a means of moving beyond service-led provision to a more relational, empowering model that reflects what truly matters to people: choice, control, and the freedom to shape their own support. However, the successful realisation of this potential requires more than technical implementation or compliance with statutory duties. It demands a wholesale cultural shift</w:t>
      </w:r>
      <w:r w:rsidR="00900A9D" w:rsidRPr="009A2849">
        <w:rPr>
          <w:rFonts w:cstheme="minorHAnsi"/>
          <w:sz w:val="24"/>
          <w:szCs w:val="24"/>
        </w:rPr>
        <w:t xml:space="preserve">, </w:t>
      </w:r>
      <w:r w:rsidRPr="009A2849">
        <w:rPr>
          <w:rFonts w:cstheme="minorHAnsi"/>
          <w:sz w:val="24"/>
          <w:szCs w:val="24"/>
        </w:rPr>
        <w:t>one that prioritises values as much as structures and builds systems around people rather than around procedures.</w:t>
      </w:r>
    </w:p>
    <w:p w14:paraId="3FFD301D" w14:textId="77777777" w:rsidR="000D34DF" w:rsidRPr="009A2849" w:rsidRDefault="000D34DF" w:rsidP="000D34DF">
      <w:pPr>
        <w:spacing w:line="360" w:lineRule="auto"/>
        <w:jc w:val="both"/>
        <w:rPr>
          <w:rFonts w:cstheme="minorHAnsi"/>
          <w:sz w:val="24"/>
          <w:szCs w:val="24"/>
        </w:rPr>
      </w:pPr>
      <w:r w:rsidRPr="009A2849">
        <w:rPr>
          <w:rFonts w:cstheme="minorHAnsi"/>
          <w:sz w:val="24"/>
          <w:szCs w:val="24"/>
        </w:rPr>
        <w:t>The evidence reviewed underscores that direct payments thrive in environments where visionary leadership sets a clear direction, where inclusive governance ensures that lived experience shapes decision-making, and where practitioners are equipped, supported, and trusted to work creatively and collaboratively. It also illustrates that piecemeal or tokenistic approaches are insufficient. Without committed investment in workforce development, co-production, and infrastructure, direct payments risk being reduced to a transactional funding mechanism rather than a transformative vehicle for personalisation.</w:t>
      </w:r>
    </w:p>
    <w:p w14:paraId="6F2B97E2" w14:textId="27EE2783" w:rsidR="000D34DF" w:rsidRPr="009A2849" w:rsidRDefault="000D34DF" w:rsidP="000D34DF">
      <w:pPr>
        <w:spacing w:line="360" w:lineRule="auto"/>
        <w:jc w:val="both"/>
        <w:rPr>
          <w:rFonts w:cstheme="minorHAnsi"/>
          <w:sz w:val="24"/>
          <w:szCs w:val="24"/>
        </w:rPr>
      </w:pPr>
      <w:r w:rsidRPr="009A2849">
        <w:rPr>
          <w:rFonts w:cstheme="minorHAnsi"/>
          <w:sz w:val="24"/>
          <w:szCs w:val="24"/>
        </w:rPr>
        <w:t>Local authorities that have achieved meaningful change have done so by aligning policy, practice, and values. They have built capacity within teams, fostered cultures of trust and flexibility, and established mechanisms for continuous feedback and accountability. They have recognised the need to rebalance power</w:t>
      </w:r>
      <w:r w:rsidR="00900A9D" w:rsidRPr="009A2849">
        <w:rPr>
          <w:rFonts w:cstheme="minorHAnsi"/>
          <w:sz w:val="24"/>
          <w:szCs w:val="24"/>
        </w:rPr>
        <w:t xml:space="preserve">, </w:t>
      </w:r>
      <w:r w:rsidRPr="009A2849">
        <w:rPr>
          <w:rFonts w:cstheme="minorHAnsi"/>
          <w:sz w:val="24"/>
          <w:szCs w:val="24"/>
        </w:rPr>
        <w:t>not only between councils and individuals but also within systems</w:t>
      </w:r>
      <w:r w:rsidR="00900A9D" w:rsidRPr="009A2849">
        <w:rPr>
          <w:rFonts w:cstheme="minorHAnsi"/>
          <w:sz w:val="24"/>
          <w:szCs w:val="24"/>
        </w:rPr>
        <w:t xml:space="preserve">, </w:t>
      </w:r>
      <w:r w:rsidRPr="009A2849">
        <w:rPr>
          <w:rFonts w:cstheme="minorHAnsi"/>
          <w:sz w:val="24"/>
          <w:szCs w:val="24"/>
        </w:rPr>
        <w:t>to ensure that choice is not constrained by bureaucracy, and control is not undermined by risk aversion.</w:t>
      </w:r>
    </w:p>
    <w:p w14:paraId="766EA0A6" w14:textId="7364EF44"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As the social care sector faces rising demand, entrenched inequalities, and severe resource constraints, direct payments represent not just an opportunity but a necessity. They offer a route to more sustainable models of care by harnessing informal networks, enabling </w:t>
      </w:r>
      <w:r w:rsidRPr="009A2849">
        <w:rPr>
          <w:rFonts w:cstheme="minorHAnsi"/>
          <w:sz w:val="24"/>
          <w:szCs w:val="24"/>
        </w:rPr>
        <w:lastRenderedPageBreak/>
        <w:t>innovation, and promoting cost-effective, outcome-focused support. More importantly, they embody a rights-based vision for social care</w:t>
      </w:r>
      <w:r w:rsidR="00900A9D" w:rsidRPr="009A2849">
        <w:rPr>
          <w:rFonts w:cstheme="minorHAnsi"/>
          <w:sz w:val="24"/>
          <w:szCs w:val="24"/>
        </w:rPr>
        <w:t xml:space="preserve">, </w:t>
      </w:r>
      <w:r w:rsidRPr="009A2849">
        <w:rPr>
          <w:rFonts w:cstheme="minorHAnsi"/>
          <w:sz w:val="24"/>
          <w:szCs w:val="24"/>
        </w:rPr>
        <w:t>one where people are not passive recipients of services, but active citizens shaping their own lives.</w:t>
      </w:r>
    </w:p>
    <w:p w14:paraId="3E9C9688" w14:textId="3CA302C8" w:rsidR="00266F1D" w:rsidRPr="009A2849" w:rsidRDefault="000D34DF" w:rsidP="00900A9D">
      <w:pPr>
        <w:spacing w:line="360" w:lineRule="auto"/>
        <w:jc w:val="both"/>
        <w:rPr>
          <w:rFonts w:cstheme="minorHAnsi"/>
          <w:sz w:val="24"/>
          <w:szCs w:val="24"/>
        </w:rPr>
      </w:pPr>
      <w:r w:rsidRPr="009A2849">
        <w:rPr>
          <w:rFonts w:cstheme="minorHAnsi"/>
          <w:sz w:val="24"/>
          <w:szCs w:val="24"/>
        </w:rPr>
        <w:t>Embedding a person-centred approach to direct payments is therefore not only a policy imperative, but a moral one. It requires ongoing commitment, courageous leadership, and sustained partnership with people who draw on care and support. Where these conditions are met, direct payments can serve as a cornerstone of a fairer, more responsive, and more humane social care system</w:t>
      </w:r>
      <w:r w:rsidR="00900A9D" w:rsidRPr="009A2849">
        <w:rPr>
          <w:rFonts w:cstheme="minorHAnsi"/>
          <w:sz w:val="24"/>
          <w:szCs w:val="24"/>
        </w:rPr>
        <w:t xml:space="preserve">, </w:t>
      </w:r>
      <w:r w:rsidRPr="009A2849">
        <w:rPr>
          <w:rFonts w:cstheme="minorHAnsi"/>
          <w:sz w:val="24"/>
          <w:szCs w:val="24"/>
        </w:rPr>
        <w:t>one that reflects the principles of justice, inclusion, and respect at its core.</w:t>
      </w:r>
    </w:p>
    <w:p w14:paraId="12471B50" w14:textId="77777777" w:rsidR="00266F1D" w:rsidRPr="009A2849" w:rsidRDefault="00266F1D" w:rsidP="00CF2923">
      <w:pPr>
        <w:spacing w:after="0"/>
        <w:rPr>
          <w:rFonts w:cstheme="minorHAnsi"/>
          <w:sz w:val="24"/>
          <w:szCs w:val="24"/>
        </w:rPr>
      </w:pPr>
    </w:p>
    <w:p w14:paraId="27118E24" w14:textId="77777777" w:rsidR="00FD4A57" w:rsidRPr="009A2849" w:rsidRDefault="00FD4A57" w:rsidP="00CF2923">
      <w:pPr>
        <w:spacing w:after="0"/>
        <w:rPr>
          <w:rFonts w:cstheme="minorHAnsi"/>
          <w:sz w:val="24"/>
          <w:szCs w:val="24"/>
        </w:rPr>
      </w:pPr>
    </w:p>
    <w:p w14:paraId="06149434" w14:textId="77777777" w:rsidR="002F67DF" w:rsidRPr="009A2849" w:rsidRDefault="002F67DF" w:rsidP="00CF2923">
      <w:pPr>
        <w:spacing w:after="0"/>
        <w:rPr>
          <w:rFonts w:cstheme="minorHAnsi"/>
          <w:sz w:val="24"/>
          <w:szCs w:val="24"/>
        </w:rPr>
      </w:pPr>
    </w:p>
    <w:p w14:paraId="1B91C8B9" w14:textId="6CE6D0F1" w:rsidR="00E47089" w:rsidRPr="00D05E64" w:rsidRDefault="005D1298" w:rsidP="004D0A32">
      <w:pPr>
        <w:pStyle w:val="Heading1"/>
        <w:spacing w:after="0"/>
        <w:rPr>
          <w:rFonts w:asciiTheme="minorHAnsi" w:hAnsiTheme="minorHAnsi" w:cstheme="minorHAnsi"/>
          <w:b/>
          <w:bCs/>
          <w:sz w:val="24"/>
          <w:szCs w:val="24"/>
        </w:rPr>
      </w:pPr>
      <w:r w:rsidRPr="00D05E64">
        <w:rPr>
          <w:rFonts w:asciiTheme="minorHAnsi" w:hAnsiTheme="minorHAnsi" w:cstheme="minorHAnsi"/>
          <w:b/>
          <w:bCs/>
          <w:sz w:val="24"/>
          <w:szCs w:val="24"/>
        </w:rPr>
        <w:t>References</w:t>
      </w:r>
    </w:p>
    <w:p w14:paraId="42CE337A" w14:textId="77777777" w:rsidR="00E47089" w:rsidRPr="009A2849" w:rsidRDefault="00E47089" w:rsidP="00CF2923">
      <w:pPr>
        <w:spacing w:after="0"/>
        <w:rPr>
          <w:rFonts w:cstheme="minorHAnsi"/>
          <w:sz w:val="24"/>
          <w:szCs w:val="24"/>
        </w:rPr>
      </w:pPr>
    </w:p>
    <w:p w14:paraId="4D74F451" w14:textId="54AE9197" w:rsidR="000D34DF" w:rsidRPr="009A2849" w:rsidRDefault="000D34DF" w:rsidP="000D34DF">
      <w:pPr>
        <w:spacing w:line="360" w:lineRule="auto"/>
        <w:jc w:val="both"/>
        <w:rPr>
          <w:rFonts w:cstheme="minorHAnsi"/>
          <w:sz w:val="24"/>
          <w:szCs w:val="24"/>
        </w:rPr>
      </w:pPr>
      <w:r w:rsidRPr="009A2849">
        <w:rPr>
          <w:rFonts w:cstheme="minorHAnsi"/>
          <w:sz w:val="24"/>
          <w:szCs w:val="24"/>
        </w:rPr>
        <w:t>Baxter, K., Heavey, E., &amp; Birks, Y. (2020). Choice and control in social care: Experiences of older self-funders in England. Social Policy and Administration, 54(3), 460–474.</w:t>
      </w:r>
    </w:p>
    <w:p w14:paraId="5C408FED" w14:textId="48142D04" w:rsidR="000D34DF" w:rsidRPr="009A2849" w:rsidRDefault="000D34DF" w:rsidP="000D34DF">
      <w:pPr>
        <w:spacing w:line="360" w:lineRule="auto"/>
        <w:jc w:val="both"/>
        <w:rPr>
          <w:rFonts w:cstheme="minorHAnsi"/>
          <w:sz w:val="24"/>
          <w:szCs w:val="24"/>
        </w:rPr>
      </w:pPr>
      <w:r w:rsidRPr="009A2849">
        <w:rPr>
          <w:rFonts w:cstheme="minorHAnsi"/>
          <w:sz w:val="24"/>
          <w:szCs w:val="24"/>
        </w:rPr>
        <w:t>Beresford, P., Fleming, J., Glynn, M., Bewley, C., Croft, S., Branfield, F., &amp; Postle, K. (2011). Supporting people: Towards a person-centred approach. Policy Press.</w:t>
      </w:r>
    </w:p>
    <w:p w14:paraId="771267F9" w14:textId="490FC027" w:rsidR="000D34DF" w:rsidRPr="009A2849" w:rsidRDefault="000D34DF" w:rsidP="000D34DF">
      <w:pPr>
        <w:spacing w:line="360" w:lineRule="auto"/>
        <w:jc w:val="both"/>
        <w:rPr>
          <w:rFonts w:cstheme="minorHAnsi"/>
          <w:sz w:val="24"/>
          <w:szCs w:val="24"/>
        </w:rPr>
      </w:pPr>
      <w:r w:rsidRPr="009A2849">
        <w:rPr>
          <w:rFonts w:cstheme="minorHAnsi"/>
          <w:sz w:val="24"/>
          <w:szCs w:val="24"/>
        </w:rPr>
        <w:t>Blood, I., &amp; Guthrie, L. (2018). Supporting older people using attachment-informed and strengths-based approaches. Jessica Kingsley Publishers.</w:t>
      </w:r>
    </w:p>
    <w:p w14:paraId="5D3EBD02" w14:textId="7C4B7FDE"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Caiels, J., Milne, A., &amp; Beadle-Brown, J. (2021). Strengths-based approaches in social work and social care: Reviewing the evidence. Journal of Long-Term Care, 401–422. </w:t>
      </w:r>
    </w:p>
    <w:p w14:paraId="4AE5D3FC" w14:textId="77777777" w:rsidR="000D34DF" w:rsidRPr="009A2849" w:rsidRDefault="000D34DF" w:rsidP="000D34DF">
      <w:pPr>
        <w:spacing w:line="360" w:lineRule="auto"/>
        <w:jc w:val="both"/>
        <w:rPr>
          <w:rFonts w:cstheme="minorHAnsi"/>
          <w:sz w:val="24"/>
          <w:szCs w:val="24"/>
        </w:rPr>
      </w:pPr>
      <w:r w:rsidRPr="009A2849">
        <w:rPr>
          <w:rFonts w:cstheme="minorHAnsi"/>
          <w:sz w:val="24"/>
          <w:szCs w:val="24"/>
        </w:rPr>
        <w:t>Carr, S. (2014). SCIE Report 70: Personalisation: A rough guide. Social Care Institute for Excellence.</w:t>
      </w:r>
    </w:p>
    <w:p w14:paraId="6E0257B7" w14:textId="4DF0DF68" w:rsidR="000D34DF" w:rsidRPr="009A2849" w:rsidRDefault="007A0D4C" w:rsidP="000D34DF">
      <w:pPr>
        <w:spacing w:line="360" w:lineRule="auto"/>
        <w:jc w:val="both"/>
        <w:rPr>
          <w:rFonts w:cstheme="minorHAnsi"/>
          <w:sz w:val="24"/>
          <w:szCs w:val="24"/>
        </w:rPr>
      </w:pPr>
      <w:r w:rsidRPr="009A2849">
        <w:rPr>
          <w:rFonts w:cstheme="minorHAnsi"/>
          <w:sz w:val="24"/>
          <w:szCs w:val="24"/>
        </w:rPr>
        <w:t>Currie, G., &amp; Lockett, A. (2011). Distributing leadership in health and social care: concertive, conjoint or collective?. International Journal of Management Reviews, 13(3), 286-300.</w:t>
      </w:r>
    </w:p>
    <w:p w14:paraId="79ED0D64" w14:textId="77755078"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Davey, V., Fernández, J.-L., Knapp, M., Vick, N., Jolly, D., Swift, P., Tobin, R., Kendall, J., Ferrie, J., Pearson, C., Mercer, G., &amp; Priestley, M. (2007). Direct payments: A national survey of direct </w:t>
      </w:r>
      <w:r w:rsidRPr="009A2849">
        <w:rPr>
          <w:rFonts w:cstheme="minorHAnsi"/>
          <w:sz w:val="24"/>
          <w:szCs w:val="24"/>
        </w:rPr>
        <w:lastRenderedPageBreak/>
        <w:t>payments policy and practice (Report No. HSC 2007/001). Personal Social Services Research Unit, London School of Economics and Political Science.</w:t>
      </w:r>
    </w:p>
    <w:p w14:paraId="0DADE5AC" w14:textId="6A9D104A" w:rsidR="000D34DF" w:rsidRPr="009A2849" w:rsidRDefault="000D34DF" w:rsidP="000D34DF">
      <w:pPr>
        <w:spacing w:line="360" w:lineRule="auto"/>
        <w:jc w:val="both"/>
        <w:rPr>
          <w:rFonts w:cstheme="minorHAnsi"/>
          <w:sz w:val="24"/>
          <w:szCs w:val="24"/>
        </w:rPr>
      </w:pPr>
      <w:r w:rsidRPr="009A2849">
        <w:rPr>
          <w:rFonts w:cstheme="minorHAnsi"/>
          <w:sz w:val="24"/>
          <w:szCs w:val="24"/>
        </w:rPr>
        <w:t>Department for Health and Social Care. (2018). *Chief social worker for adults annual report 2017-18: From strength to strength - Strengths-based practice and achieving better lives*. https://www.gov.uk/government/publications/chief-social-worker-for-adults-annual-report-2017-to-2018</w:t>
      </w:r>
    </w:p>
    <w:p w14:paraId="298787DC" w14:textId="2686DB19" w:rsidR="000D34DF" w:rsidRPr="009A2849" w:rsidRDefault="000D34DF" w:rsidP="000D34DF">
      <w:pPr>
        <w:spacing w:line="360" w:lineRule="auto"/>
        <w:jc w:val="both"/>
        <w:rPr>
          <w:rFonts w:cstheme="minorHAnsi"/>
          <w:sz w:val="24"/>
          <w:szCs w:val="24"/>
        </w:rPr>
      </w:pPr>
      <w:r w:rsidRPr="009A2849">
        <w:rPr>
          <w:rFonts w:cstheme="minorHAnsi"/>
          <w:sz w:val="24"/>
          <w:szCs w:val="24"/>
        </w:rPr>
        <w:t>Department of Health. (1997). Community Care (Direct Payments) Act 1996: Policy and practice guidance.</w:t>
      </w:r>
    </w:p>
    <w:p w14:paraId="273D00CE" w14:textId="1E901D5C" w:rsidR="000D34DF" w:rsidRPr="009A2849" w:rsidRDefault="000D34DF" w:rsidP="000D34DF">
      <w:pPr>
        <w:spacing w:line="360" w:lineRule="auto"/>
        <w:jc w:val="both"/>
        <w:rPr>
          <w:rFonts w:cstheme="minorHAnsi"/>
          <w:sz w:val="24"/>
          <w:szCs w:val="24"/>
        </w:rPr>
      </w:pPr>
      <w:r w:rsidRPr="009A2849">
        <w:rPr>
          <w:rFonts w:cstheme="minorHAnsi"/>
          <w:sz w:val="24"/>
          <w:szCs w:val="24"/>
        </w:rPr>
        <w:t>Department of Health. (2005). Independence, well-being and choice: Our vision for adult social care in England (Cm 6499). The Stationery Office.</w:t>
      </w:r>
    </w:p>
    <w:p w14:paraId="4A27711B" w14:textId="19C30CA5" w:rsidR="000D34DF" w:rsidRPr="009A2849" w:rsidRDefault="000D34DF" w:rsidP="000D34DF">
      <w:pPr>
        <w:spacing w:line="360" w:lineRule="auto"/>
        <w:jc w:val="both"/>
        <w:rPr>
          <w:rFonts w:cstheme="minorHAnsi"/>
          <w:sz w:val="24"/>
          <w:szCs w:val="24"/>
        </w:rPr>
      </w:pPr>
      <w:r w:rsidRPr="009A2849">
        <w:rPr>
          <w:rFonts w:cstheme="minorHAnsi"/>
          <w:sz w:val="24"/>
          <w:szCs w:val="24"/>
        </w:rPr>
        <w:t>Department of Health. (2006). Direct payments for people with mental health problems: A guide to action. Care Services Improvement Partnership.</w:t>
      </w:r>
    </w:p>
    <w:p w14:paraId="16A91321" w14:textId="6AC8CE96"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Department of Health and Social Care. (2014). Care and support statutory guidance: Issued under the Care Act 2014. </w:t>
      </w:r>
      <w:hyperlink r:id="rId11" w:history="1">
        <w:r w:rsidRPr="009A2849">
          <w:rPr>
            <w:rStyle w:val="Hyperlink"/>
            <w:rFonts w:cstheme="minorHAnsi"/>
            <w:sz w:val="24"/>
            <w:szCs w:val="24"/>
          </w:rPr>
          <w:t>https://www.gov.uk/government/uploads/system/uploads/attachment_data/file/315993/Care-Act-Guidance.pdf</w:t>
        </w:r>
      </w:hyperlink>
    </w:p>
    <w:p w14:paraId="5B0B948C" w14:textId="34AA369F" w:rsidR="000D34DF" w:rsidRPr="009A2849" w:rsidRDefault="000D34DF" w:rsidP="000D34DF">
      <w:pPr>
        <w:spacing w:line="360" w:lineRule="auto"/>
        <w:jc w:val="both"/>
        <w:rPr>
          <w:rFonts w:cstheme="minorHAnsi"/>
          <w:sz w:val="24"/>
          <w:szCs w:val="24"/>
        </w:rPr>
      </w:pPr>
      <w:r w:rsidRPr="009A2849">
        <w:rPr>
          <w:rFonts w:cstheme="minorHAnsi"/>
          <w:sz w:val="24"/>
          <w:szCs w:val="24"/>
        </w:rPr>
        <w:t>Ettelt, S., Wittenberg, R., Williams, L., Perkins, M., Lombard, D., Mays, N., &amp; Damant, J. (2018). Explaining low uptake of direct payments in residential care: Findings from the evaluation of the Direct Payments in Residential Care Trailblazers. Journal of Social Policy, 47(4), 571-590.</w:t>
      </w:r>
    </w:p>
    <w:p w14:paraId="70A6984D" w14:textId="00FE3B6C" w:rsidR="000D34DF" w:rsidRPr="009A2849" w:rsidRDefault="000D34DF" w:rsidP="000D34DF">
      <w:pPr>
        <w:spacing w:line="360" w:lineRule="auto"/>
        <w:jc w:val="both"/>
        <w:rPr>
          <w:rFonts w:cstheme="minorHAnsi"/>
          <w:sz w:val="24"/>
          <w:szCs w:val="24"/>
        </w:rPr>
      </w:pPr>
      <w:r w:rsidRPr="009A2849">
        <w:rPr>
          <w:rFonts w:cstheme="minorHAnsi"/>
          <w:sz w:val="24"/>
          <w:szCs w:val="24"/>
        </w:rPr>
        <w:t>Fernández, J., Kendall, J., Davey, V., &amp; Knapp, M. (2007). Direct payments in England: Factors linked to variations in local provision. Journal of Social Policy, 36(1), 97–121.</w:t>
      </w:r>
    </w:p>
    <w:p w14:paraId="6CADB610" w14:textId="343A408D" w:rsidR="000D34DF" w:rsidRPr="009A2849" w:rsidRDefault="000D34DF" w:rsidP="000D34DF">
      <w:pPr>
        <w:spacing w:line="360" w:lineRule="auto"/>
        <w:jc w:val="both"/>
        <w:rPr>
          <w:rFonts w:cstheme="minorHAnsi"/>
          <w:sz w:val="24"/>
          <w:szCs w:val="24"/>
        </w:rPr>
      </w:pPr>
      <w:r w:rsidRPr="009A2849">
        <w:rPr>
          <w:rFonts w:cstheme="minorHAnsi"/>
          <w:sz w:val="24"/>
          <w:szCs w:val="24"/>
        </w:rPr>
        <w:t>Glasby, J., &amp; Littlechild, R. (2009). Direct payments and personal budgets: Putting personalisation into practice. Policy Press.</w:t>
      </w:r>
    </w:p>
    <w:p w14:paraId="14C81395" w14:textId="39CB4268" w:rsidR="000D34DF" w:rsidRPr="009A2849" w:rsidRDefault="000D34DF" w:rsidP="000D34DF">
      <w:pPr>
        <w:spacing w:line="360" w:lineRule="auto"/>
        <w:jc w:val="both"/>
        <w:rPr>
          <w:rFonts w:cstheme="minorHAnsi"/>
          <w:sz w:val="24"/>
          <w:szCs w:val="24"/>
        </w:rPr>
      </w:pPr>
      <w:r w:rsidRPr="009A2849">
        <w:rPr>
          <w:rFonts w:cstheme="minorHAnsi"/>
          <w:sz w:val="24"/>
          <w:szCs w:val="24"/>
        </w:rPr>
        <w:t>Glasby, J., &amp; Littlechild, R. (2016). The case for direct payments. British Journal of Social Work, 46(5), 1186–1202. https://doi.org/10.1093/bjsw/bcv023</w:t>
      </w:r>
    </w:p>
    <w:p w14:paraId="5F4493A0" w14:textId="45BF6550" w:rsidR="000D34DF" w:rsidRPr="009A2849" w:rsidRDefault="000D34DF" w:rsidP="000D34DF">
      <w:pPr>
        <w:spacing w:line="360" w:lineRule="auto"/>
        <w:jc w:val="both"/>
        <w:rPr>
          <w:rFonts w:cstheme="minorHAnsi"/>
          <w:sz w:val="24"/>
          <w:szCs w:val="24"/>
        </w:rPr>
      </w:pPr>
      <w:r w:rsidRPr="009A2849">
        <w:rPr>
          <w:rFonts w:cstheme="minorHAnsi"/>
          <w:sz w:val="24"/>
          <w:szCs w:val="24"/>
        </w:rPr>
        <w:lastRenderedPageBreak/>
        <w:t xml:space="preserve">Hamilton, S., Tew, J., Szymczynska, P., Clewett, N., Manthorpe, J., Larsen, J., &amp; Pinfold, V. (2015). Power, choice and control: How do personal budgets affect the experiences of people with mental health problems and their relationships with social workers and other practitioners? British Journal of Social Work, 45(8), 2396–2412. </w:t>
      </w:r>
      <w:hyperlink r:id="rId12" w:history="1">
        <w:r w:rsidRPr="009A2849">
          <w:rPr>
            <w:rStyle w:val="Hyperlink"/>
            <w:rFonts w:cstheme="minorHAnsi"/>
            <w:sz w:val="24"/>
            <w:szCs w:val="24"/>
          </w:rPr>
          <w:t>https://doi.org/10.1093/bjsw/bcv023</w:t>
        </w:r>
      </w:hyperlink>
    </w:p>
    <w:p w14:paraId="64E03D6F" w14:textId="77777777" w:rsidR="000D34DF" w:rsidRPr="009A2849" w:rsidRDefault="000D34DF" w:rsidP="000D34DF">
      <w:pPr>
        <w:spacing w:line="360" w:lineRule="auto"/>
        <w:jc w:val="both"/>
        <w:rPr>
          <w:rFonts w:cstheme="minorHAnsi"/>
          <w:sz w:val="24"/>
          <w:szCs w:val="24"/>
        </w:rPr>
      </w:pPr>
      <w:r w:rsidRPr="009A2849">
        <w:rPr>
          <w:rFonts w:cstheme="minorHAnsi"/>
          <w:sz w:val="24"/>
          <w:szCs w:val="24"/>
        </w:rPr>
        <w:t>Haworth, S., Miller, R., &amp; Schaub, J. (2018,). Leadership in social work: And can it learn from clinical healthcare? [Report].</w:t>
      </w:r>
    </w:p>
    <w:p w14:paraId="170AB11E" w14:textId="31536F14" w:rsidR="000D34DF" w:rsidRPr="009A2849" w:rsidRDefault="000D34DF" w:rsidP="000D34DF">
      <w:pPr>
        <w:spacing w:line="360" w:lineRule="auto"/>
        <w:jc w:val="both"/>
        <w:rPr>
          <w:rFonts w:cstheme="minorHAnsi"/>
          <w:sz w:val="24"/>
          <w:szCs w:val="24"/>
        </w:rPr>
      </w:pPr>
      <w:r w:rsidRPr="009A2849">
        <w:rPr>
          <w:rFonts w:cstheme="minorHAnsi"/>
          <w:sz w:val="24"/>
          <w:szCs w:val="24"/>
        </w:rPr>
        <w:t>Jarrett, T. (2015). Social care: Direct payments from a local authority (England) (Briefing Paper No. SN03735). House of Commons Library. http://researchbriefings.files.parliament.uk/documents/SN03735/SN03735.pdf</w:t>
      </w:r>
    </w:p>
    <w:p w14:paraId="0C508F97" w14:textId="68D925F5" w:rsidR="000D34DF" w:rsidRPr="009A2849" w:rsidRDefault="000D34DF" w:rsidP="000D34DF">
      <w:pPr>
        <w:spacing w:line="360" w:lineRule="auto"/>
        <w:jc w:val="both"/>
        <w:rPr>
          <w:rFonts w:cstheme="minorHAnsi"/>
          <w:sz w:val="24"/>
          <w:szCs w:val="24"/>
        </w:rPr>
      </w:pPr>
      <w:r w:rsidRPr="009A2849">
        <w:rPr>
          <w:rFonts w:cstheme="minorHAnsi"/>
          <w:sz w:val="24"/>
          <w:szCs w:val="24"/>
        </w:rPr>
        <w:t>Kendall, S., &amp; Cameron, A. (2014). Personalisation of adult social care: Self-directed support and the choice and control agenda. British Journal of Learning Disabilities, 42(4), 264–271. https://doi.org/10.1111/bld.12085</w:t>
      </w:r>
    </w:p>
    <w:p w14:paraId="0A0C8722" w14:textId="6D922415" w:rsidR="000D34DF" w:rsidRPr="009A2849" w:rsidRDefault="000D34DF" w:rsidP="000D34DF">
      <w:pPr>
        <w:spacing w:line="360" w:lineRule="auto"/>
        <w:jc w:val="both"/>
        <w:rPr>
          <w:rFonts w:cstheme="minorHAnsi"/>
          <w:sz w:val="24"/>
          <w:szCs w:val="24"/>
        </w:rPr>
      </w:pPr>
      <w:r w:rsidRPr="009A2849">
        <w:rPr>
          <w:rFonts w:cstheme="minorHAnsi"/>
          <w:sz w:val="24"/>
          <w:szCs w:val="24"/>
        </w:rPr>
        <w:t>Loeffler, E., Taylor-Gooby, D., Bovaird, T., Hine-Hughes, F., &amp; Wilkes, L. (Eds.). (2012). Making health and social care personal and local: Moving from mass production to co-production. Governance International.</w:t>
      </w:r>
    </w:p>
    <w:p w14:paraId="72D022F8" w14:textId="1A7F320B" w:rsidR="000D34DF" w:rsidRPr="009A2849" w:rsidRDefault="000D34DF" w:rsidP="000D34DF">
      <w:pPr>
        <w:spacing w:line="360" w:lineRule="auto"/>
        <w:jc w:val="both"/>
        <w:rPr>
          <w:rFonts w:cstheme="minorHAnsi"/>
          <w:sz w:val="24"/>
          <w:szCs w:val="24"/>
        </w:rPr>
      </w:pPr>
      <w:r w:rsidRPr="009A2849">
        <w:rPr>
          <w:rFonts w:cstheme="minorHAnsi"/>
          <w:sz w:val="24"/>
          <w:szCs w:val="24"/>
        </w:rPr>
        <w:t>Lombard, D., Wittenberg, R., Ettelt, S., Damant, J., Mays, N., Williams, L., &amp; Perkins, M. (2019). Evaluating direct payments in residential care: The perspective of care home providers. International Journal of Care and Caring, 3(3), 393–411.</w:t>
      </w:r>
    </w:p>
    <w:p w14:paraId="35DA6859" w14:textId="5C290D1A" w:rsidR="000D34DF" w:rsidRPr="009A2849" w:rsidRDefault="000D34DF" w:rsidP="000D34DF">
      <w:pPr>
        <w:spacing w:line="360" w:lineRule="auto"/>
        <w:jc w:val="both"/>
        <w:rPr>
          <w:rFonts w:cstheme="minorHAnsi"/>
          <w:sz w:val="24"/>
          <w:szCs w:val="24"/>
        </w:rPr>
      </w:pPr>
      <w:r w:rsidRPr="009A2849">
        <w:rPr>
          <w:rFonts w:cstheme="minorHAnsi"/>
          <w:sz w:val="24"/>
          <w:szCs w:val="24"/>
        </w:rPr>
        <w:t>Local Government Association. (2025</w:t>
      </w:r>
      <w:r w:rsidR="00B05D38" w:rsidRPr="009A2849">
        <w:rPr>
          <w:rFonts w:cstheme="minorHAnsi"/>
          <w:sz w:val="24"/>
          <w:szCs w:val="24"/>
        </w:rPr>
        <w:t>a</w:t>
      </w:r>
      <w:r w:rsidRPr="009A2849">
        <w:rPr>
          <w:rFonts w:cstheme="minorHAnsi"/>
          <w:sz w:val="24"/>
          <w:szCs w:val="24"/>
        </w:rPr>
        <w:t>). Must know: Personalisation and Making It Real in adult social care (Publication No. 1.185).</w:t>
      </w:r>
    </w:p>
    <w:p w14:paraId="7655261C" w14:textId="1CAF7F94" w:rsidR="00B05D38" w:rsidRPr="009A2849" w:rsidRDefault="00B05D38" w:rsidP="000D34DF">
      <w:pPr>
        <w:spacing w:line="360" w:lineRule="auto"/>
        <w:jc w:val="both"/>
        <w:rPr>
          <w:rFonts w:cstheme="minorHAnsi"/>
          <w:sz w:val="24"/>
          <w:szCs w:val="24"/>
        </w:rPr>
      </w:pPr>
      <w:r w:rsidRPr="009A2849">
        <w:rPr>
          <w:rFonts w:cstheme="minorHAnsi"/>
          <w:sz w:val="24"/>
          <w:szCs w:val="24"/>
        </w:rPr>
        <w:t xml:space="preserve">Local Government Association. (2025b) Direct payments: a guide for principal social workers and finance and audit staff and managers in England. </w:t>
      </w:r>
      <w:hyperlink r:id="rId13" w:history="1">
        <w:r w:rsidRPr="009A2849">
          <w:rPr>
            <w:rStyle w:val="Hyperlink"/>
            <w:rFonts w:cstheme="minorHAnsi"/>
            <w:sz w:val="24"/>
            <w:szCs w:val="24"/>
          </w:rPr>
          <w:t>https://www.local.gov.uk/our-support/partners-care-and-health/adult-social-care-workforce/direct-payments-guide-principal</w:t>
        </w:r>
      </w:hyperlink>
    </w:p>
    <w:p w14:paraId="30B3B897" w14:textId="13BE115B" w:rsidR="000D34DF" w:rsidRPr="009A2849" w:rsidRDefault="000D34DF" w:rsidP="00900A9D">
      <w:pPr>
        <w:spacing w:line="360" w:lineRule="auto"/>
        <w:rPr>
          <w:rFonts w:cstheme="minorHAnsi"/>
          <w:sz w:val="24"/>
          <w:szCs w:val="24"/>
        </w:rPr>
      </w:pPr>
      <w:r w:rsidRPr="009A2849">
        <w:rPr>
          <w:rFonts w:cstheme="minorHAnsi"/>
          <w:sz w:val="24"/>
          <w:szCs w:val="24"/>
        </w:rPr>
        <w:lastRenderedPageBreak/>
        <w:t xml:space="preserve">Local Government Association. (2017). Developing a cultural strategy through a co-production model at Leeds City Council. </w:t>
      </w:r>
      <w:hyperlink r:id="rId14" w:history="1">
        <w:r w:rsidR="00B05D38" w:rsidRPr="009A2849">
          <w:rPr>
            <w:rStyle w:val="Hyperlink"/>
            <w:rFonts w:cstheme="minorHAnsi"/>
            <w:sz w:val="24"/>
            <w:szCs w:val="24"/>
          </w:rPr>
          <w:t>https://www.local.gov.uk/case-studies/developing-cultural-strategy-through-co-production-model-leeds-city-council</w:t>
        </w:r>
      </w:hyperlink>
    </w:p>
    <w:p w14:paraId="6EFAA9C2" w14:textId="7DAC998F" w:rsidR="000D34DF" w:rsidRPr="009A2849" w:rsidRDefault="000D34DF" w:rsidP="000D34DF">
      <w:pPr>
        <w:spacing w:line="360" w:lineRule="auto"/>
        <w:jc w:val="both"/>
        <w:rPr>
          <w:rFonts w:cstheme="minorHAnsi"/>
          <w:sz w:val="24"/>
          <w:szCs w:val="24"/>
        </w:rPr>
      </w:pPr>
      <w:r w:rsidRPr="009A2849">
        <w:rPr>
          <w:rFonts w:cstheme="minorHAnsi"/>
          <w:sz w:val="24"/>
          <w:szCs w:val="24"/>
        </w:rPr>
        <w:t>Manthorpe, J., Stevens, M., Rapaport, J., Harris, J., Jacobs, S., Challis, D., Netten, A., Knapp, M., Wilberforce, M., &amp; Glendinning, C. (2009). Safeguarding and system change: Early perceptions of the implications for adult protection services of the English individual budgets pilots. British Journal of Social Work, 39(8), 1465–1480. https://doi.org/10.1093/bjsw/bcn108</w:t>
      </w:r>
    </w:p>
    <w:p w14:paraId="7BEC56CA" w14:textId="618C0A6B"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Naylor, C., &amp; Wellings, D. (2019). A citizen-led approach to health and care: Lessons from the Wigan Deal. The King's Fund. </w:t>
      </w:r>
      <w:hyperlink r:id="rId15" w:history="1">
        <w:r w:rsidRPr="009A2849">
          <w:rPr>
            <w:rStyle w:val="Hyperlink"/>
            <w:rFonts w:cstheme="minorHAnsi"/>
            <w:sz w:val="24"/>
            <w:szCs w:val="24"/>
          </w:rPr>
          <w:t>https://www.kingsfund.org.uk/insight-and-analysis/reports/wigan-deal</w:t>
        </w:r>
      </w:hyperlink>
    </w:p>
    <w:p w14:paraId="34CA78B9" w14:textId="77777777"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Needham, C. (2024) Why is the uptake of Direct Payments so Low. Centre for Care Blog </w:t>
      </w:r>
      <w:hyperlink r:id="rId16" w:history="1">
        <w:r w:rsidRPr="009A2849">
          <w:rPr>
            <w:rStyle w:val="Hyperlink"/>
            <w:rFonts w:cstheme="minorHAnsi"/>
            <w:sz w:val="24"/>
            <w:szCs w:val="24"/>
          </w:rPr>
          <w:t>https://centreforcare.ac.uk/commentary/2024/04/why-is-the-take-up-of-direct-payments-so-low/</w:t>
        </w:r>
      </w:hyperlink>
    </w:p>
    <w:p w14:paraId="56861611" w14:textId="77777777" w:rsidR="000D34DF" w:rsidRPr="009A2849" w:rsidRDefault="000D34DF" w:rsidP="000D34DF">
      <w:pPr>
        <w:spacing w:line="360" w:lineRule="auto"/>
        <w:jc w:val="both"/>
        <w:rPr>
          <w:rFonts w:cstheme="minorHAnsi"/>
          <w:sz w:val="24"/>
          <w:szCs w:val="24"/>
        </w:rPr>
      </w:pPr>
    </w:p>
    <w:p w14:paraId="0FE463EA" w14:textId="06BDBF0C" w:rsidR="000D34DF" w:rsidRPr="009A2849" w:rsidRDefault="000D34DF" w:rsidP="000D34DF">
      <w:pPr>
        <w:spacing w:line="360" w:lineRule="auto"/>
        <w:jc w:val="both"/>
        <w:rPr>
          <w:rFonts w:cstheme="minorHAnsi"/>
          <w:sz w:val="24"/>
          <w:szCs w:val="24"/>
        </w:rPr>
      </w:pPr>
      <w:r w:rsidRPr="009A2849">
        <w:rPr>
          <w:rFonts w:cstheme="minorHAnsi"/>
          <w:sz w:val="24"/>
          <w:szCs w:val="24"/>
        </w:rPr>
        <w:t>Netten, A., Jones, K., Knapp, M., Fernández, J.-L., Challis, D., Glendinning, C., Jacobs, S., Manthorpe, J., Moran, N., Stevens, M., &amp; Wilberforce, M. (2012). Personalisation through individual budgets: Does it work and for whom? British Journal of Social Work, 42(8), 1556–1573.https://doi.org/10.1093/bjsw/bcr155</w:t>
      </w:r>
    </w:p>
    <w:p w14:paraId="06C6980D" w14:textId="71454A5F"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NHS. (2018). Personal budgets. </w:t>
      </w:r>
      <w:hyperlink r:id="rId17" w:history="1">
        <w:r w:rsidR="000D7E14" w:rsidRPr="009A2849">
          <w:rPr>
            <w:rStyle w:val="Hyperlink"/>
            <w:rFonts w:cstheme="minorHAnsi"/>
            <w:sz w:val="24"/>
            <w:szCs w:val="24"/>
          </w:rPr>
          <w:t>https://www.nhs.uk/conditions/social-care-and-support-guide/money-work-and-benefits/personal-budgets</w:t>
        </w:r>
      </w:hyperlink>
    </w:p>
    <w:p w14:paraId="73BD215F" w14:textId="0A430697" w:rsidR="000D34DF" w:rsidRPr="009A2849" w:rsidRDefault="000D34DF" w:rsidP="000D34DF">
      <w:pPr>
        <w:spacing w:line="360" w:lineRule="auto"/>
        <w:jc w:val="both"/>
        <w:rPr>
          <w:rFonts w:cstheme="minorHAnsi"/>
          <w:sz w:val="24"/>
          <w:szCs w:val="24"/>
        </w:rPr>
      </w:pPr>
      <w:r w:rsidRPr="009A2849">
        <w:rPr>
          <w:rFonts w:cstheme="minorHAnsi"/>
          <w:sz w:val="24"/>
          <w:szCs w:val="24"/>
        </w:rPr>
        <w:t>Pearson, C., Brunner, R., Porter, T., &amp; Watson, N. (2020). Personalisation and the promise of independent living: Where now for cash, care and control for disability organisations across the UK? Scandinavian Journal of Disability Research, 22(1), 285–295.</w:t>
      </w:r>
    </w:p>
    <w:p w14:paraId="1AB4E290" w14:textId="48608DDF" w:rsidR="000D34DF" w:rsidRPr="009A2849" w:rsidRDefault="000D34DF" w:rsidP="000D34DF">
      <w:pPr>
        <w:spacing w:line="360" w:lineRule="auto"/>
        <w:jc w:val="both"/>
        <w:rPr>
          <w:rFonts w:cstheme="minorHAnsi"/>
          <w:sz w:val="24"/>
          <w:szCs w:val="24"/>
        </w:rPr>
      </w:pPr>
      <w:r w:rsidRPr="009A2849">
        <w:rPr>
          <w:rFonts w:cstheme="minorHAnsi"/>
          <w:sz w:val="24"/>
          <w:szCs w:val="24"/>
        </w:rPr>
        <w:t>Riddell, S., Priestley, M., Pearson, C., Mercer, G., Barnes, C., Jolly, D., &amp; Williams, V. (2006). Disabled people and direct payments: A UK comparative study (ESRC Award RES-000-23-0263).</w:t>
      </w:r>
    </w:p>
    <w:p w14:paraId="30D413DB" w14:textId="3B2F74A3" w:rsidR="000D34DF" w:rsidRPr="009A2849" w:rsidRDefault="000D34DF" w:rsidP="000D34DF">
      <w:pPr>
        <w:spacing w:line="360" w:lineRule="auto"/>
        <w:jc w:val="both"/>
        <w:rPr>
          <w:rFonts w:cstheme="minorHAnsi"/>
          <w:sz w:val="24"/>
          <w:szCs w:val="24"/>
        </w:rPr>
      </w:pPr>
      <w:r w:rsidRPr="009A2849">
        <w:rPr>
          <w:rFonts w:cstheme="minorHAnsi"/>
          <w:sz w:val="24"/>
          <w:szCs w:val="24"/>
        </w:rPr>
        <w:lastRenderedPageBreak/>
        <w:t>Rodrigues, R., &amp; Glendinning, C. (2015). Choice, competition and care: Developments in English social care and the impacts on providers and older users of home care services. Social Policy &amp; Administration, 49(5), 649–664. https://doi.org/10.1111/spol.12131</w:t>
      </w:r>
    </w:p>
    <w:p w14:paraId="5340F709" w14:textId="269A55C7" w:rsidR="000D34DF" w:rsidRPr="009A2849" w:rsidRDefault="000D34DF" w:rsidP="000D34DF">
      <w:pPr>
        <w:spacing w:line="360" w:lineRule="auto"/>
        <w:jc w:val="both"/>
        <w:rPr>
          <w:rFonts w:cstheme="minorHAnsi"/>
          <w:sz w:val="24"/>
          <w:szCs w:val="24"/>
        </w:rPr>
      </w:pPr>
      <w:r w:rsidRPr="009A2849">
        <w:rPr>
          <w:rFonts w:cstheme="minorHAnsi"/>
          <w:sz w:val="24"/>
          <w:szCs w:val="24"/>
        </w:rPr>
        <w:t>Rowlett, N., &amp; Deighton, S. (2009). Simplifying direct payments: How Lincolnshire County Council utilised risk management to deliver genuine improvement. Journal of Care Services Management, 3(2), 131–143.</w:t>
      </w:r>
    </w:p>
    <w:p w14:paraId="26DDE8B8" w14:textId="09D96E7D" w:rsidR="000D34DF" w:rsidRPr="009A2849" w:rsidRDefault="000D34DF" w:rsidP="000D34DF">
      <w:pPr>
        <w:spacing w:line="360" w:lineRule="auto"/>
        <w:jc w:val="both"/>
        <w:rPr>
          <w:rFonts w:cstheme="minorHAnsi"/>
          <w:sz w:val="24"/>
          <w:szCs w:val="24"/>
        </w:rPr>
      </w:pPr>
      <w:r w:rsidRPr="009A2849">
        <w:rPr>
          <w:rFonts w:cstheme="minorHAnsi"/>
          <w:sz w:val="24"/>
          <w:szCs w:val="24"/>
        </w:rPr>
        <w:t>Schein, E. H. (2017). Organizational culture and leadership (5th ed.). Jossey-Bass.</w:t>
      </w:r>
    </w:p>
    <w:p w14:paraId="659B9AB3" w14:textId="757077EA"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Social Care Institute for Excellence. (2015). Care Act guidance on strengths-based approaches. </w:t>
      </w:r>
      <w:hyperlink r:id="rId18" w:history="1">
        <w:r w:rsidRPr="009A2849">
          <w:rPr>
            <w:rStyle w:val="Hyperlink"/>
            <w:rFonts w:cstheme="minorHAnsi"/>
            <w:sz w:val="24"/>
            <w:szCs w:val="24"/>
          </w:rPr>
          <w:t>https://www.scie.org.uk</w:t>
        </w:r>
      </w:hyperlink>
    </w:p>
    <w:p w14:paraId="6A7636E3" w14:textId="5F1CB5A5"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Social Care Institute for Excellence (SCIE). (2021). The Three Conversations®: A model for development - case study. </w:t>
      </w:r>
      <w:hyperlink r:id="rId19" w:history="1">
        <w:r w:rsidR="000D7E14" w:rsidRPr="009A2849">
          <w:rPr>
            <w:rStyle w:val="Hyperlink"/>
            <w:rFonts w:cstheme="minorHAnsi"/>
            <w:sz w:val="24"/>
            <w:szCs w:val="24"/>
          </w:rPr>
          <w:t>https://www.scie.org.uk/</w:t>
        </w:r>
      </w:hyperlink>
    </w:p>
    <w:p w14:paraId="197EEE74" w14:textId="6B7151B5"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Social Care Institute for Excellence. (2022). Leadership in strengths-based social care. </w:t>
      </w:r>
      <w:hyperlink r:id="rId20" w:history="1">
        <w:r w:rsidRPr="009A2849">
          <w:rPr>
            <w:rStyle w:val="Hyperlink"/>
            <w:rFonts w:cstheme="minorHAnsi"/>
            <w:sz w:val="24"/>
            <w:szCs w:val="24"/>
          </w:rPr>
          <w:t>https://www.scie.org.uk</w:t>
        </w:r>
      </w:hyperlink>
    </w:p>
    <w:p w14:paraId="358EA970" w14:textId="77777777" w:rsidR="000D34DF" w:rsidRPr="009A2849" w:rsidRDefault="000D34DF" w:rsidP="000D34DF">
      <w:pPr>
        <w:spacing w:line="360" w:lineRule="auto"/>
        <w:jc w:val="both"/>
        <w:rPr>
          <w:rFonts w:cstheme="minorHAnsi"/>
          <w:sz w:val="24"/>
          <w:szCs w:val="24"/>
        </w:rPr>
      </w:pPr>
      <w:r w:rsidRPr="009A2849">
        <w:rPr>
          <w:rFonts w:cstheme="minorHAnsi"/>
          <w:sz w:val="24"/>
          <w:szCs w:val="24"/>
        </w:rPr>
        <w:t>Stevens, M., Clark, M., Carlisle, J., Brimblecombe, N., &amp; MacGill, M. (2024). Supporting meaningful implementation and evaluation of strengths-based approaches in adult social care: A theory of change for The Three Conversations. The British Journal of Social Work, 54(6), 2583-2602.</w:t>
      </w:r>
    </w:p>
    <w:p w14:paraId="3D070A99" w14:textId="77777777" w:rsidR="000D34DF" w:rsidRPr="009A2849" w:rsidRDefault="000D34DF" w:rsidP="000D34DF">
      <w:pPr>
        <w:spacing w:line="360" w:lineRule="auto"/>
        <w:jc w:val="both"/>
        <w:rPr>
          <w:rFonts w:cstheme="minorHAnsi"/>
          <w:sz w:val="24"/>
          <w:szCs w:val="24"/>
        </w:rPr>
      </w:pPr>
    </w:p>
    <w:p w14:paraId="5AE81663" w14:textId="755873A1" w:rsidR="000D34DF" w:rsidRPr="009A2849" w:rsidRDefault="000D34DF" w:rsidP="000D34DF">
      <w:pPr>
        <w:spacing w:line="360" w:lineRule="auto"/>
        <w:jc w:val="both"/>
        <w:rPr>
          <w:rFonts w:cstheme="minorHAnsi"/>
          <w:sz w:val="24"/>
          <w:szCs w:val="24"/>
        </w:rPr>
      </w:pPr>
      <w:r w:rsidRPr="009A2849">
        <w:rPr>
          <w:rFonts w:cstheme="minorHAnsi"/>
          <w:sz w:val="24"/>
          <w:szCs w:val="24"/>
        </w:rPr>
        <w:t>Tawodzera, O., Stevenson, L. and Bowes, A. (2025) Personalisation in racially minoritised groups within UK adult social care: a systematic review, International Journal of Care and Caring,</w:t>
      </w:r>
    </w:p>
    <w:p w14:paraId="333B430B" w14:textId="5D58D076" w:rsidR="000D34DF" w:rsidRPr="009A2849" w:rsidRDefault="000D34DF" w:rsidP="000D34DF">
      <w:pPr>
        <w:spacing w:line="360" w:lineRule="auto"/>
        <w:jc w:val="both"/>
        <w:rPr>
          <w:rFonts w:cstheme="minorHAnsi"/>
          <w:sz w:val="24"/>
          <w:szCs w:val="24"/>
        </w:rPr>
      </w:pPr>
      <w:r w:rsidRPr="009A2849">
        <w:rPr>
          <w:rFonts w:cstheme="minorHAnsi"/>
          <w:sz w:val="24"/>
          <w:szCs w:val="24"/>
        </w:rPr>
        <w:t xml:space="preserve">Think Local Act Personal (TLAP). (2015, February 9). Leadership for empowered and healthy communities programme. </w:t>
      </w:r>
      <w:hyperlink r:id="rId21" w:history="1">
        <w:r w:rsidRPr="009A2849">
          <w:rPr>
            <w:rStyle w:val="Hyperlink"/>
            <w:rFonts w:cstheme="minorHAnsi"/>
            <w:sz w:val="24"/>
            <w:szCs w:val="24"/>
          </w:rPr>
          <w:t>https://thinklocalactpersonal.org.uk/news/leadership-for-empowered-and-healthy-communities-programme/</w:t>
        </w:r>
      </w:hyperlink>
    </w:p>
    <w:p w14:paraId="0B163AC4" w14:textId="33422B24" w:rsidR="000D34DF" w:rsidRPr="009A2849" w:rsidRDefault="000D34DF" w:rsidP="000D34DF">
      <w:pPr>
        <w:spacing w:line="360" w:lineRule="auto"/>
        <w:jc w:val="both"/>
        <w:rPr>
          <w:rFonts w:cstheme="minorHAnsi"/>
          <w:sz w:val="24"/>
          <w:szCs w:val="24"/>
        </w:rPr>
      </w:pPr>
      <w:r w:rsidRPr="009A2849">
        <w:rPr>
          <w:rFonts w:cstheme="minorHAnsi"/>
          <w:sz w:val="24"/>
          <w:szCs w:val="24"/>
        </w:rPr>
        <w:lastRenderedPageBreak/>
        <w:t>Think Local Act Personal (TLAP). (2022). Better direct payments: From insight to action. https://thinklocalactpersonal.org.uk/resources/better-direct-payments-from-insight-to-action/</w:t>
      </w:r>
    </w:p>
    <w:p w14:paraId="1BA0360A" w14:textId="0C7DC99D" w:rsidR="000D34DF" w:rsidRPr="009A2849" w:rsidRDefault="000D34DF" w:rsidP="000D34DF">
      <w:pPr>
        <w:spacing w:line="360" w:lineRule="auto"/>
        <w:jc w:val="both"/>
        <w:rPr>
          <w:rFonts w:cstheme="minorHAnsi"/>
          <w:sz w:val="24"/>
          <w:szCs w:val="24"/>
        </w:rPr>
      </w:pPr>
      <w:r w:rsidRPr="009A2849">
        <w:rPr>
          <w:rFonts w:cstheme="minorHAnsi"/>
          <w:sz w:val="24"/>
          <w:szCs w:val="24"/>
        </w:rPr>
        <w:t>Watson, C. (2025). Direct payments and flexibility: A review of direct payment policies across English councils, identifying opportunities for more flexibility [Review of all local authority policies in England]. Citizen Network.</w:t>
      </w:r>
    </w:p>
    <w:p w14:paraId="6C45E915" w14:textId="77777777" w:rsidR="000D34DF" w:rsidRPr="009A2849" w:rsidRDefault="000D34DF" w:rsidP="000D34DF">
      <w:pPr>
        <w:spacing w:line="360" w:lineRule="auto"/>
        <w:jc w:val="both"/>
        <w:rPr>
          <w:rFonts w:cstheme="minorHAnsi"/>
          <w:color w:val="0C64C0"/>
          <w:sz w:val="24"/>
          <w:szCs w:val="24"/>
        </w:rPr>
      </w:pPr>
      <w:r w:rsidRPr="009A2849">
        <w:rPr>
          <w:rFonts w:cstheme="minorHAnsi"/>
          <w:sz w:val="24"/>
          <w:szCs w:val="24"/>
        </w:rPr>
        <w:t>Woolham, J., Daly, G., Sparks, T., Ritters, K., &amp; Steils, N. (2017). Do direct payments improve outcomes for people who receive social care? Differences in outcome between people aged 75+ who have a managed budget or a direct payment. Ageing &amp; Society, 37(5), 961–984.</w:t>
      </w:r>
    </w:p>
    <w:p w14:paraId="24766A6E" w14:textId="79B2015B" w:rsidR="0046237E" w:rsidRPr="009A2849" w:rsidRDefault="0046237E" w:rsidP="00CF2923">
      <w:pPr>
        <w:spacing w:after="0"/>
        <w:rPr>
          <w:rFonts w:cstheme="minorHAnsi"/>
          <w:sz w:val="24"/>
          <w:szCs w:val="24"/>
        </w:rPr>
      </w:pPr>
    </w:p>
    <w:sectPr w:rsidR="0046237E" w:rsidRPr="009A2849" w:rsidSect="002F0D93">
      <w:headerReference w:type="default" r:id="rId22"/>
      <w:footerReference w:type="default" r:id="rId23"/>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DE1F" w14:textId="77777777" w:rsidR="00147CDE" w:rsidRDefault="00147CDE" w:rsidP="00BF47F5">
      <w:pPr>
        <w:spacing w:after="0" w:line="240" w:lineRule="auto"/>
      </w:pPr>
      <w:r>
        <w:separator/>
      </w:r>
    </w:p>
  </w:endnote>
  <w:endnote w:type="continuationSeparator" w:id="0">
    <w:p w14:paraId="20CBC6A4" w14:textId="77777777" w:rsidR="00147CDE" w:rsidRDefault="00147CDE" w:rsidP="00BF47F5">
      <w:pPr>
        <w:spacing w:after="0" w:line="240" w:lineRule="auto"/>
      </w:pPr>
      <w:r>
        <w:continuationSeparator/>
      </w:r>
    </w:p>
  </w:endnote>
  <w:endnote w:type="continuationNotice" w:id="1">
    <w:p w14:paraId="6D4A14FE" w14:textId="77777777" w:rsidR="00147CDE" w:rsidRDefault="00147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BEC8" w14:textId="77777777" w:rsidR="00147CDE" w:rsidRDefault="00147CDE" w:rsidP="00BF47F5">
      <w:pPr>
        <w:spacing w:after="0" w:line="240" w:lineRule="auto"/>
      </w:pPr>
      <w:r>
        <w:separator/>
      </w:r>
    </w:p>
  </w:footnote>
  <w:footnote w:type="continuationSeparator" w:id="0">
    <w:p w14:paraId="696ACB15" w14:textId="77777777" w:rsidR="00147CDE" w:rsidRDefault="00147CDE" w:rsidP="00BF47F5">
      <w:pPr>
        <w:spacing w:after="0" w:line="240" w:lineRule="auto"/>
      </w:pPr>
      <w:r>
        <w:continuationSeparator/>
      </w:r>
    </w:p>
  </w:footnote>
  <w:footnote w:type="continuationNotice" w:id="1">
    <w:p w14:paraId="63D6B85D" w14:textId="77777777" w:rsidR="00147CDE" w:rsidRDefault="00147C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85C0" w14:textId="47EF57B1" w:rsidR="002F0D93" w:rsidRPr="00CF2923" w:rsidRDefault="002F0D93" w:rsidP="00CF2923">
    <w:pPr>
      <w:pStyle w:val="Default"/>
      <w:rPr>
        <w:rFonts w:ascii="Arial" w:hAnsi="Arial" w:cs="Arial"/>
        <w:b/>
        <w:bCs/>
        <w:color w:val="A84D97"/>
      </w:rPr>
    </w:pPr>
    <w:r w:rsidRPr="00CF2923">
      <w:rPr>
        <w:rFonts w:ascii="Arial" w:hAnsi="Arial" w:cs="Arial"/>
        <w:b/>
        <w:bCs/>
        <w:noProof/>
      </w:rPr>
      <w:drawing>
        <wp:anchor distT="0" distB="0" distL="114300" distR="114300" simplePos="0" relativeHeight="251658240" behindDoc="0" locked="0" layoutInCell="1" allowOverlap="1" wp14:anchorId="7380860F" wp14:editId="08A7139F">
          <wp:simplePos x="0" y="0"/>
          <wp:positionH relativeFrom="margin">
            <wp:align>right</wp:align>
          </wp:positionH>
          <wp:positionV relativeFrom="paragraph">
            <wp:posOffset>-219158</wp:posOffset>
          </wp:positionV>
          <wp:extent cx="1857153" cy="755374"/>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153" cy="7553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923">
      <w:rPr>
        <w:rFonts w:ascii="Arial" w:hAnsi="Arial" w:cs="Arial"/>
        <w:b/>
        <w:bCs/>
        <w:color w:val="A84D97"/>
      </w:rPr>
      <w:t xml:space="preserve">“Good support isn’t just about </w:t>
    </w:r>
  </w:p>
  <w:p w14:paraId="44EE906D" w14:textId="277F6ACA" w:rsidR="00DC2FDA" w:rsidRPr="00CF2923" w:rsidRDefault="002F0D93" w:rsidP="002F0D93">
    <w:pPr>
      <w:pStyle w:val="Header"/>
      <w:rPr>
        <w:rFonts w:ascii="Arial" w:hAnsi="Arial" w:cs="Arial"/>
        <w:b/>
        <w:bCs/>
        <w:sz w:val="24"/>
        <w:szCs w:val="24"/>
      </w:rPr>
    </w:pPr>
    <w:r w:rsidRPr="00CF2923">
      <w:rPr>
        <w:rFonts w:ascii="Arial" w:hAnsi="Arial" w:cs="Arial"/>
        <w:b/>
        <w:bCs/>
        <w:color w:val="A84D97"/>
        <w:sz w:val="24"/>
        <w:szCs w:val="24"/>
      </w:rPr>
      <w:t xml:space="preserve">‘services’ – it’s about having a life.” </w:t>
    </w:r>
    <w:r w:rsidRPr="00CF2923">
      <w:rPr>
        <w:rFonts w:ascii="Arial" w:hAnsi="Arial" w:cs="Arial"/>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E67B0"/>
    <w:multiLevelType w:val="hybridMultilevel"/>
    <w:tmpl w:val="444A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F18BE"/>
    <w:multiLevelType w:val="hybridMultilevel"/>
    <w:tmpl w:val="CBBE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6"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4A7D80"/>
    <w:multiLevelType w:val="hybridMultilevel"/>
    <w:tmpl w:val="58A8B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A0810"/>
    <w:multiLevelType w:val="hybridMultilevel"/>
    <w:tmpl w:val="6AFCC166"/>
    <w:lvl w:ilvl="0" w:tplc="1DC44E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4A47C0"/>
    <w:multiLevelType w:val="hybridMultilevel"/>
    <w:tmpl w:val="3D5E8D0C"/>
    <w:lvl w:ilvl="0" w:tplc="721ADD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1787D"/>
    <w:multiLevelType w:val="hybridMultilevel"/>
    <w:tmpl w:val="5B14939E"/>
    <w:lvl w:ilvl="0" w:tplc="8A601574">
      <w:start w:val="1"/>
      <w:numFmt w:val="bullet"/>
      <w:lvlText w:val=""/>
      <w:lvlJc w:val="left"/>
      <w:pPr>
        <w:ind w:left="1440" w:hanging="360"/>
      </w:pPr>
      <w:rPr>
        <w:rFonts w:ascii="Symbol" w:hAnsi="Symbol"/>
      </w:rPr>
    </w:lvl>
    <w:lvl w:ilvl="1" w:tplc="8340D34A">
      <w:start w:val="1"/>
      <w:numFmt w:val="bullet"/>
      <w:lvlText w:val=""/>
      <w:lvlJc w:val="left"/>
      <w:pPr>
        <w:ind w:left="1440" w:hanging="360"/>
      </w:pPr>
      <w:rPr>
        <w:rFonts w:ascii="Symbol" w:hAnsi="Symbol"/>
      </w:rPr>
    </w:lvl>
    <w:lvl w:ilvl="2" w:tplc="71B0D506">
      <w:start w:val="1"/>
      <w:numFmt w:val="bullet"/>
      <w:lvlText w:val=""/>
      <w:lvlJc w:val="left"/>
      <w:pPr>
        <w:ind w:left="1440" w:hanging="360"/>
      </w:pPr>
      <w:rPr>
        <w:rFonts w:ascii="Symbol" w:hAnsi="Symbol"/>
      </w:rPr>
    </w:lvl>
    <w:lvl w:ilvl="3" w:tplc="BE64839E">
      <w:start w:val="1"/>
      <w:numFmt w:val="bullet"/>
      <w:lvlText w:val=""/>
      <w:lvlJc w:val="left"/>
      <w:pPr>
        <w:ind w:left="1440" w:hanging="360"/>
      </w:pPr>
      <w:rPr>
        <w:rFonts w:ascii="Symbol" w:hAnsi="Symbol"/>
      </w:rPr>
    </w:lvl>
    <w:lvl w:ilvl="4" w:tplc="BBD0D05C">
      <w:start w:val="1"/>
      <w:numFmt w:val="bullet"/>
      <w:lvlText w:val=""/>
      <w:lvlJc w:val="left"/>
      <w:pPr>
        <w:ind w:left="1440" w:hanging="360"/>
      </w:pPr>
      <w:rPr>
        <w:rFonts w:ascii="Symbol" w:hAnsi="Symbol"/>
      </w:rPr>
    </w:lvl>
    <w:lvl w:ilvl="5" w:tplc="0600A1CA">
      <w:start w:val="1"/>
      <w:numFmt w:val="bullet"/>
      <w:lvlText w:val=""/>
      <w:lvlJc w:val="left"/>
      <w:pPr>
        <w:ind w:left="1440" w:hanging="360"/>
      </w:pPr>
      <w:rPr>
        <w:rFonts w:ascii="Symbol" w:hAnsi="Symbol"/>
      </w:rPr>
    </w:lvl>
    <w:lvl w:ilvl="6" w:tplc="6270D3E2">
      <w:start w:val="1"/>
      <w:numFmt w:val="bullet"/>
      <w:lvlText w:val=""/>
      <w:lvlJc w:val="left"/>
      <w:pPr>
        <w:ind w:left="1440" w:hanging="360"/>
      </w:pPr>
      <w:rPr>
        <w:rFonts w:ascii="Symbol" w:hAnsi="Symbol"/>
      </w:rPr>
    </w:lvl>
    <w:lvl w:ilvl="7" w:tplc="0BBEE776">
      <w:start w:val="1"/>
      <w:numFmt w:val="bullet"/>
      <w:lvlText w:val=""/>
      <w:lvlJc w:val="left"/>
      <w:pPr>
        <w:ind w:left="1440" w:hanging="360"/>
      </w:pPr>
      <w:rPr>
        <w:rFonts w:ascii="Symbol" w:hAnsi="Symbol"/>
      </w:rPr>
    </w:lvl>
    <w:lvl w:ilvl="8" w:tplc="45E60BC8">
      <w:start w:val="1"/>
      <w:numFmt w:val="bullet"/>
      <w:lvlText w:val=""/>
      <w:lvlJc w:val="left"/>
      <w:pPr>
        <w:ind w:left="1440" w:hanging="360"/>
      </w:pPr>
      <w:rPr>
        <w:rFonts w:ascii="Symbol" w:hAnsi="Symbol"/>
      </w:rPr>
    </w:lvl>
  </w:abstractNum>
  <w:abstractNum w:abstractNumId="21"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D351675"/>
    <w:multiLevelType w:val="hybridMultilevel"/>
    <w:tmpl w:val="8438B682"/>
    <w:lvl w:ilvl="0" w:tplc="26E8010E">
      <w:start w:val="1"/>
      <w:numFmt w:val="decimal"/>
      <w:lvlText w:val="%1."/>
      <w:lvlJc w:val="left"/>
      <w:pPr>
        <w:ind w:left="1440" w:hanging="360"/>
      </w:pPr>
    </w:lvl>
    <w:lvl w:ilvl="1" w:tplc="D6CCD58C">
      <w:start w:val="1"/>
      <w:numFmt w:val="decimal"/>
      <w:lvlText w:val="%2."/>
      <w:lvlJc w:val="left"/>
      <w:pPr>
        <w:ind w:left="1440" w:hanging="360"/>
      </w:pPr>
    </w:lvl>
    <w:lvl w:ilvl="2" w:tplc="0E985638">
      <w:start w:val="1"/>
      <w:numFmt w:val="decimal"/>
      <w:lvlText w:val="%3."/>
      <w:lvlJc w:val="left"/>
      <w:pPr>
        <w:ind w:left="1440" w:hanging="360"/>
      </w:pPr>
    </w:lvl>
    <w:lvl w:ilvl="3" w:tplc="29609864">
      <w:start w:val="1"/>
      <w:numFmt w:val="decimal"/>
      <w:lvlText w:val="%4."/>
      <w:lvlJc w:val="left"/>
      <w:pPr>
        <w:ind w:left="1440" w:hanging="360"/>
      </w:pPr>
    </w:lvl>
    <w:lvl w:ilvl="4" w:tplc="CEC63F76">
      <w:start w:val="1"/>
      <w:numFmt w:val="decimal"/>
      <w:lvlText w:val="%5."/>
      <w:lvlJc w:val="left"/>
      <w:pPr>
        <w:ind w:left="1440" w:hanging="360"/>
      </w:pPr>
    </w:lvl>
    <w:lvl w:ilvl="5" w:tplc="EEE43F24">
      <w:start w:val="1"/>
      <w:numFmt w:val="decimal"/>
      <w:lvlText w:val="%6."/>
      <w:lvlJc w:val="left"/>
      <w:pPr>
        <w:ind w:left="1440" w:hanging="360"/>
      </w:pPr>
    </w:lvl>
    <w:lvl w:ilvl="6" w:tplc="B68ED88C">
      <w:start w:val="1"/>
      <w:numFmt w:val="decimal"/>
      <w:lvlText w:val="%7."/>
      <w:lvlJc w:val="left"/>
      <w:pPr>
        <w:ind w:left="1440" w:hanging="360"/>
      </w:pPr>
    </w:lvl>
    <w:lvl w:ilvl="7" w:tplc="1916A75A">
      <w:start w:val="1"/>
      <w:numFmt w:val="decimal"/>
      <w:lvlText w:val="%8."/>
      <w:lvlJc w:val="left"/>
      <w:pPr>
        <w:ind w:left="1440" w:hanging="360"/>
      </w:pPr>
    </w:lvl>
    <w:lvl w:ilvl="8" w:tplc="D1D457D8">
      <w:start w:val="1"/>
      <w:numFmt w:val="decimal"/>
      <w:lvlText w:val="%9."/>
      <w:lvlJc w:val="left"/>
      <w:pPr>
        <w:ind w:left="1440" w:hanging="360"/>
      </w:pPr>
    </w:lvl>
  </w:abstractNum>
  <w:abstractNum w:abstractNumId="23"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4D364F"/>
    <w:multiLevelType w:val="hybridMultilevel"/>
    <w:tmpl w:val="15F4A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E136404"/>
    <w:multiLevelType w:val="hybridMultilevel"/>
    <w:tmpl w:val="DB32CA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7947009">
    <w:abstractNumId w:val="24"/>
  </w:num>
  <w:num w:numId="2" w16cid:durableId="605619411">
    <w:abstractNumId w:val="6"/>
  </w:num>
  <w:num w:numId="3" w16cid:durableId="1258758107">
    <w:abstractNumId w:val="18"/>
  </w:num>
  <w:num w:numId="4" w16cid:durableId="1443374632">
    <w:abstractNumId w:val="23"/>
  </w:num>
  <w:num w:numId="5" w16cid:durableId="1844393022">
    <w:abstractNumId w:val="13"/>
  </w:num>
  <w:num w:numId="6" w16cid:durableId="478503642">
    <w:abstractNumId w:val="11"/>
  </w:num>
  <w:num w:numId="7" w16cid:durableId="1230455686">
    <w:abstractNumId w:val="8"/>
  </w:num>
  <w:num w:numId="8" w16cid:durableId="1479107342">
    <w:abstractNumId w:val="25"/>
  </w:num>
  <w:num w:numId="9" w16cid:durableId="1474983265">
    <w:abstractNumId w:val="19"/>
  </w:num>
  <w:num w:numId="10" w16cid:durableId="898714068">
    <w:abstractNumId w:val="29"/>
  </w:num>
  <w:num w:numId="11" w16cid:durableId="732121767">
    <w:abstractNumId w:val="3"/>
  </w:num>
  <w:num w:numId="12" w16cid:durableId="1692492262">
    <w:abstractNumId w:val="1"/>
  </w:num>
  <w:num w:numId="13" w16cid:durableId="1083991055">
    <w:abstractNumId w:val="21"/>
  </w:num>
  <w:num w:numId="14" w16cid:durableId="1229338939">
    <w:abstractNumId w:val="9"/>
  </w:num>
  <w:num w:numId="15" w16cid:durableId="2073235031">
    <w:abstractNumId w:val="16"/>
  </w:num>
  <w:num w:numId="16" w16cid:durableId="853299196">
    <w:abstractNumId w:val="0"/>
  </w:num>
  <w:num w:numId="17" w16cid:durableId="676690292">
    <w:abstractNumId w:val="17"/>
  </w:num>
  <w:num w:numId="18" w16cid:durableId="2091612154">
    <w:abstractNumId w:val="14"/>
  </w:num>
  <w:num w:numId="19" w16cid:durableId="936403990">
    <w:abstractNumId w:val="5"/>
  </w:num>
  <w:num w:numId="20" w16cid:durableId="608465963">
    <w:abstractNumId w:val="27"/>
  </w:num>
  <w:num w:numId="21" w16cid:durableId="1967350930">
    <w:abstractNumId w:val="28"/>
  </w:num>
  <w:num w:numId="22" w16cid:durableId="1843930776">
    <w:abstractNumId w:val="12"/>
  </w:num>
  <w:num w:numId="23" w16cid:durableId="1793356818">
    <w:abstractNumId w:val="30"/>
  </w:num>
  <w:num w:numId="24" w16cid:durableId="1595936992">
    <w:abstractNumId w:val="13"/>
  </w:num>
  <w:num w:numId="25" w16cid:durableId="907033910">
    <w:abstractNumId w:val="26"/>
  </w:num>
  <w:num w:numId="26" w16cid:durableId="81801264">
    <w:abstractNumId w:val="31"/>
  </w:num>
  <w:num w:numId="27" w16cid:durableId="392850019">
    <w:abstractNumId w:val="15"/>
  </w:num>
  <w:num w:numId="28" w16cid:durableId="521477209">
    <w:abstractNumId w:val="7"/>
  </w:num>
  <w:num w:numId="29" w16cid:durableId="2006782643">
    <w:abstractNumId w:val="4"/>
  </w:num>
  <w:num w:numId="30" w16cid:durableId="1055857662">
    <w:abstractNumId w:val="2"/>
  </w:num>
  <w:num w:numId="31" w16cid:durableId="1095857943">
    <w:abstractNumId w:val="10"/>
  </w:num>
  <w:num w:numId="32" w16cid:durableId="715668513">
    <w:abstractNumId w:val="22"/>
  </w:num>
  <w:num w:numId="33" w16cid:durableId="531115832">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318"/>
    <w:rsid w:val="000007BC"/>
    <w:rsid w:val="00000B35"/>
    <w:rsid w:val="00001D94"/>
    <w:rsid w:val="00002008"/>
    <w:rsid w:val="00002224"/>
    <w:rsid w:val="00002350"/>
    <w:rsid w:val="00002738"/>
    <w:rsid w:val="00003447"/>
    <w:rsid w:val="000035F7"/>
    <w:rsid w:val="000040FE"/>
    <w:rsid w:val="00004821"/>
    <w:rsid w:val="00004B21"/>
    <w:rsid w:val="0000644E"/>
    <w:rsid w:val="00006FDD"/>
    <w:rsid w:val="00007099"/>
    <w:rsid w:val="00010185"/>
    <w:rsid w:val="00010C98"/>
    <w:rsid w:val="00011189"/>
    <w:rsid w:val="000114D1"/>
    <w:rsid w:val="000117B1"/>
    <w:rsid w:val="000119A8"/>
    <w:rsid w:val="00011CAF"/>
    <w:rsid w:val="00012D87"/>
    <w:rsid w:val="00013477"/>
    <w:rsid w:val="00014198"/>
    <w:rsid w:val="00014469"/>
    <w:rsid w:val="000152FB"/>
    <w:rsid w:val="0001564E"/>
    <w:rsid w:val="000156AA"/>
    <w:rsid w:val="000156B4"/>
    <w:rsid w:val="00016384"/>
    <w:rsid w:val="00016E3A"/>
    <w:rsid w:val="00017261"/>
    <w:rsid w:val="00017E92"/>
    <w:rsid w:val="0002081C"/>
    <w:rsid w:val="00021211"/>
    <w:rsid w:val="00021F26"/>
    <w:rsid w:val="00024013"/>
    <w:rsid w:val="00025790"/>
    <w:rsid w:val="00027E24"/>
    <w:rsid w:val="0003186C"/>
    <w:rsid w:val="00034C31"/>
    <w:rsid w:val="00035627"/>
    <w:rsid w:val="00035F89"/>
    <w:rsid w:val="000362BA"/>
    <w:rsid w:val="00036804"/>
    <w:rsid w:val="00036BED"/>
    <w:rsid w:val="000370AF"/>
    <w:rsid w:val="00037149"/>
    <w:rsid w:val="000371B8"/>
    <w:rsid w:val="000377E1"/>
    <w:rsid w:val="000408E9"/>
    <w:rsid w:val="000409D2"/>
    <w:rsid w:val="00040AA5"/>
    <w:rsid w:val="00040E91"/>
    <w:rsid w:val="00041B40"/>
    <w:rsid w:val="00042D6F"/>
    <w:rsid w:val="00042FD3"/>
    <w:rsid w:val="000437DC"/>
    <w:rsid w:val="00043E1E"/>
    <w:rsid w:val="00044683"/>
    <w:rsid w:val="00044B93"/>
    <w:rsid w:val="00045414"/>
    <w:rsid w:val="00045B03"/>
    <w:rsid w:val="00047337"/>
    <w:rsid w:val="00047549"/>
    <w:rsid w:val="000510BB"/>
    <w:rsid w:val="000519EE"/>
    <w:rsid w:val="00051F99"/>
    <w:rsid w:val="0005276F"/>
    <w:rsid w:val="000527D6"/>
    <w:rsid w:val="000546F6"/>
    <w:rsid w:val="000548CC"/>
    <w:rsid w:val="00054ACB"/>
    <w:rsid w:val="00054D27"/>
    <w:rsid w:val="000550A3"/>
    <w:rsid w:val="0005605B"/>
    <w:rsid w:val="00056845"/>
    <w:rsid w:val="00056CC6"/>
    <w:rsid w:val="00056E60"/>
    <w:rsid w:val="00056EAD"/>
    <w:rsid w:val="00057F83"/>
    <w:rsid w:val="00060CF9"/>
    <w:rsid w:val="000610C5"/>
    <w:rsid w:val="00061244"/>
    <w:rsid w:val="00061875"/>
    <w:rsid w:val="000618D0"/>
    <w:rsid w:val="00064114"/>
    <w:rsid w:val="00067171"/>
    <w:rsid w:val="00067F75"/>
    <w:rsid w:val="0007092A"/>
    <w:rsid w:val="00071211"/>
    <w:rsid w:val="00071248"/>
    <w:rsid w:val="00072E05"/>
    <w:rsid w:val="000730CB"/>
    <w:rsid w:val="0007363E"/>
    <w:rsid w:val="00073E21"/>
    <w:rsid w:val="000740F1"/>
    <w:rsid w:val="00074656"/>
    <w:rsid w:val="000748CF"/>
    <w:rsid w:val="00074E66"/>
    <w:rsid w:val="000752C6"/>
    <w:rsid w:val="00075670"/>
    <w:rsid w:val="00075A5D"/>
    <w:rsid w:val="00075B57"/>
    <w:rsid w:val="00075C14"/>
    <w:rsid w:val="00075D6A"/>
    <w:rsid w:val="000762A6"/>
    <w:rsid w:val="00076436"/>
    <w:rsid w:val="00076726"/>
    <w:rsid w:val="0007680D"/>
    <w:rsid w:val="00077A42"/>
    <w:rsid w:val="00077B4B"/>
    <w:rsid w:val="000805C4"/>
    <w:rsid w:val="00080719"/>
    <w:rsid w:val="00081BD1"/>
    <w:rsid w:val="000828F1"/>
    <w:rsid w:val="00083493"/>
    <w:rsid w:val="00084C32"/>
    <w:rsid w:val="000859BB"/>
    <w:rsid w:val="000871E9"/>
    <w:rsid w:val="00087816"/>
    <w:rsid w:val="00087EBF"/>
    <w:rsid w:val="00087ED0"/>
    <w:rsid w:val="000909A5"/>
    <w:rsid w:val="0009217F"/>
    <w:rsid w:val="000921F1"/>
    <w:rsid w:val="0009269F"/>
    <w:rsid w:val="00092BCA"/>
    <w:rsid w:val="00092D7D"/>
    <w:rsid w:val="00092F6B"/>
    <w:rsid w:val="00093057"/>
    <w:rsid w:val="00093A53"/>
    <w:rsid w:val="00093D7B"/>
    <w:rsid w:val="000950D9"/>
    <w:rsid w:val="00095F68"/>
    <w:rsid w:val="00096719"/>
    <w:rsid w:val="000973F8"/>
    <w:rsid w:val="000A03F4"/>
    <w:rsid w:val="000A08C9"/>
    <w:rsid w:val="000A0DAA"/>
    <w:rsid w:val="000A0E72"/>
    <w:rsid w:val="000A3309"/>
    <w:rsid w:val="000A393C"/>
    <w:rsid w:val="000A4772"/>
    <w:rsid w:val="000A5616"/>
    <w:rsid w:val="000A5A4F"/>
    <w:rsid w:val="000A70CC"/>
    <w:rsid w:val="000A7110"/>
    <w:rsid w:val="000A7138"/>
    <w:rsid w:val="000B0AE2"/>
    <w:rsid w:val="000B0C9F"/>
    <w:rsid w:val="000B0E1D"/>
    <w:rsid w:val="000B10F2"/>
    <w:rsid w:val="000B21C1"/>
    <w:rsid w:val="000B2554"/>
    <w:rsid w:val="000B2D09"/>
    <w:rsid w:val="000B3B4D"/>
    <w:rsid w:val="000B3CEF"/>
    <w:rsid w:val="000B4C50"/>
    <w:rsid w:val="000B5518"/>
    <w:rsid w:val="000B5E37"/>
    <w:rsid w:val="000B72E7"/>
    <w:rsid w:val="000B79D3"/>
    <w:rsid w:val="000C09A6"/>
    <w:rsid w:val="000C0C64"/>
    <w:rsid w:val="000C0E84"/>
    <w:rsid w:val="000C207E"/>
    <w:rsid w:val="000C24DE"/>
    <w:rsid w:val="000C287D"/>
    <w:rsid w:val="000C2921"/>
    <w:rsid w:val="000C3029"/>
    <w:rsid w:val="000C34AA"/>
    <w:rsid w:val="000C39D8"/>
    <w:rsid w:val="000C517E"/>
    <w:rsid w:val="000C55DF"/>
    <w:rsid w:val="000C56EC"/>
    <w:rsid w:val="000C7B1A"/>
    <w:rsid w:val="000D0F7F"/>
    <w:rsid w:val="000D11BA"/>
    <w:rsid w:val="000D32EC"/>
    <w:rsid w:val="000D34DF"/>
    <w:rsid w:val="000D4331"/>
    <w:rsid w:val="000D55B9"/>
    <w:rsid w:val="000D57D2"/>
    <w:rsid w:val="000D5B85"/>
    <w:rsid w:val="000D5DA6"/>
    <w:rsid w:val="000D6058"/>
    <w:rsid w:val="000D6494"/>
    <w:rsid w:val="000D6702"/>
    <w:rsid w:val="000D670E"/>
    <w:rsid w:val="000D6CF3"/>
    <w:rsid w:val="000D7584"/>
    <w:rsid w:val="000D776D"/>
    <w:rsid w:val="000D7BD6"/>
    <w:rsid w:val="000D7E14"/>
    <w:rsid w:val="000E02FB"/>
    <w:rsid w:val="000E0574"/>
    <w:rsid w:val="000E1287"/>
    <w:rsid w:val="000E17C1"/>
    <w:rsid w:val="000E22EA"/>
    <w:rsid w:val="000E2430"/>
    <w:rsid w:val="000E25E9"/>
    <w:rsid w:val="000E2717"/>
    <w:rsid w:val="000E2C6B"/>
    <w:rsid w:val="000E2F91"/>
    <w:rsid w:val="000E3C5C"/>
    <w:rsid w:val="000E422A"/>
    <w:rsid w:val="000E43E3"/>
    <w:rsid w:val="000E4F4F"/>
    <w:rsid w:val="000E572A"/>
    <w:rsid w:val="000E578F"/>
    <w:rsid w:val="000E5855"/>
    <w:rsid w:val="000E61F4"/>
    <w:rsid w:val="000E621B"/>
    <w:rsid w:val="000E6C89"/>
    <w:rsid w:val="000E7920"/>
    <w:rsid w:val="000F049F"/>
    <w:rsid w:val="000F0610"/>
    <w:rsid w:val="000F16C5"/>
    <w:rsid w:val="000F32DF"/>
    <w:rsid w:val="000F3A9D"/>
    <w:rsid w:val="000F4B85"/>
    <w:rsid w:val="000F5669"/>
    <w:rsid w:val="000F62D9"/>
    <w:rsid w:val="000F62EE"/>
    <w:rsid w:val="000F6DBD"/>
    <w:rsid w:val="000F7A4A"/>
    <w:rsid w:val="001013A4"/>
    <w:rsid w:val="0010575E"/>
    <w:rsid w:val="00105FDB"/>
    <w:rsid w:val="00106480"/>
    <w:rsid w:val="001064BC"/>
    <w:rsid w:val="0010679E"/>
    <w:rsid w:val="001073AD"/>
    <w:rsid w:val="00107648"/>
    <w:rsid w:val="00107AAF"/>
    <w:rsid w:val="00107B6F"/>
    <w:rsid w:val="00110A71"/>
    <w:rsid w:val="00110E05"/>
    <w:rsid w:val="00110F6A"/>
    <w:rsid w:val="00111E79"/>
    <w:rsid w:val="00113143"/>
    <w:rsid w:val="00113DCC"/>
    <w:rsid w:val="0011411D"/>
    <w:rsid w:val="0011444C"/>
    <w:rsid w:val="00114C48"/>
    <w:rsid w:val="00114E0B"/>
    <w:rsid w:val="00115C2E"/>
    <w:rsid w:val="00116004"/>
    <w:rsid w:val="0011604C"/>
    <w:rsid w:val="0011614E"/>
    <w:rsid w:val="001173F6"/>
    <w:rsid w:val="001174A7"/>
    <w:rsid w:val="001175AF"/>
    <w:rsid w:val="001178A0"/>
    <w:rsid w:val="00120CBA"/>
    <w:rsid w:val="00121F51"/>
    <w:rsid w:val="00122735"/>
    <w:rsid w:val="00122DC5"/>
    <w:rsid w:val="0012479A"/>
    <w:rsid w:val="00124C71"/>
    <w:rsid w:val="00124FD8"/>
    <w:rsid w:val="00125AF9"/>
    <w:rsid w:val="00126C65"/>
    <w:rsid w:val="001275CB"/>
    <w:rsid w:val="00127FD5"/>
    <w:rsid w:val="00130A6D"/>
    <w:rsid w:val="00131F82"/>
    <w:rsid w:val="0013271D"/>
    <w:rsid w:val="00133DB8"/>
    <w:rsid w:val="001348CD"/>
    <w:rsid w:val="00134BAD"/>
    <w:rsid w:val="00134D20"/>
    <w:rsid w:val="0013503A"/>
    <w:rsid w:val="00135D51"/>
    <w:rsid w:val="00135D72"/>
    <w:rsid w:val="00135D8A"/>
    <w:rsid w:val="00135DB8"/>
    <w:rsid w:val="00136713"/>
    <w:rsid w:val="00136AEB"/>
    <w:rsid w:val="0014070D"/>
    <w:rsid w:val="0014146C"/>
    <w:rsid w:val="00141A5E"/>
    <w:rsid w:val="00141EFD"/>
    <w:rsid w:val="00142ACC"/>
    <w:rsid w:val="0014314C"/>
    <w:rsid w:val="0014394F"/>
    <w:rsid w:val="00143BC7"/>
    <w:rsid w:val="0014422E"/>
    <w:rsid w:val="001452D3"/>
    <w:rsid w:val="00145FAF"/>
    <w:rsid w:val="00145FB3"/>
    <w:rsid w:val="00146690"/>
    <w:rsid w:val="00146770"/>
    <w:rsid w:val="00146F58"/>
    <w:rsid w:val="001474E5"/>
    <w:rsid w:val="0014797B"/>
    <w:rsid w:val="00147CDE"/>
    <w:rsid w:val="001518AF"/>
    <w:rsid w:val="001523ED"/>
    <w:rsid w:val="00152520"/>
    <w:rsid w:val="0015385D"/>
    <w:rsid w:val="00153D21"/>
    <w:rsid w:val="001546BF"/>
    <w:rsid w:val="0015513D"/>
    <w:rsid w:val="0015562B"/>
    <w:rsid w:val="00155CFA"/>
    <w:rsid w:val="001561DF"/>
    <w:rsid w:val="00157E52"/>
    <w:rsid w:val="00160B9A"/>
    <w:rsid w:val="00161076"/>
    <w:rsid w:val="00161A9F"/>
    <w:rsid w:val="001623F5"/>
    <w:rsid w:val="001631BF"/>
    <w:rsid w:val="001634A5"/>
    <w:rsid w:val="0016434D"/>
    <w:rsid w:val="00164B7E"/>
    <w:rsid w:val="00165131"/>
    <w:rsid w:val="001652EA"/>
    <w:rsid w:val="0016623E"/>
    <w:rsid w:val="00167735"/>
    <w:rsid w:val="00167A31"/>
    <w:rsid w:val="00171A5D"/>
    <w:rsid w:val="001724BA"/>
    <w:rsid w:val="00172D2C"/>
    <w:rsid w:val="00173052"/>
    <w:rsid w:val="00173452"/>
    <w:rsid w:val="001741BA"/>
    <w:rsid w:val="00174AF5"/>
    <w:rsid w:val="00177895"/>
    <w:rsid w:val="00177BC7"/>
    <w:rsid w:val="00177DC0"/>
    <w:rsid w:val="00180322"/>
    <w:rsid w:val="00180AEC"/>
    <w:rsid w:val="0018115C"/>
    <w:rsid w:val="001833E8"/>
    <w:rsid w:val="001839B4"/>
    <w:rsid w:val="001845DA"/>
    <w:rsid w:val="001845EA"/>
    <w:rsid w:val="00185614"/>
    <w:rsid w:val="001858E5"/>
    <w:rsid w:val="00185D69"/>
    <w:rsid w:val="00186965"/>
    <w:rsid w:val="001871B5"/>
    <w:rsid w:val="00187356"/>
    <w:rsid w:val="00187B75"/>
    <w:rsid w:val="00187E4E"/>
    <w:rsid w:val="001914C6"/>
    <w:rsid w:val="001918A7"/>
    <w:rsid w:val="00191A54"/>
    <w:rsid w:val="001921CA"/>
    <w:rsid w:val="001941CB"/>
    <w:rsid w:val="001942F3"/>
    <w:rsid w:val="00194E52"/>
    <w:rsid w:val="00197605"/>
    <w:rsid w:val="00197B01"/>
    <w:rsid w:val="00197F9A"/>
    <w:rsid w:val="001A0838"/>
    <w:rsid w:val="001A0A94"/>
    <w:rsid w:val="001A0E31"/>
    <w:rsid w:val="001A115F"/>
    <w:rsid w:val="001A19C0"/>
    <w:rsid w:val="001A3C9C"/>
    <w:rsid w:val="001A6A67"/>
    <w:rsid w:val="001A6D7C"/>
    <w:rsid w:val="001A76B1"/>
    <w:rsid w:val="001A7A87"/>
    <w:rsid w:val="001B04A2"/>
    <w:rsid w:val="001B1FBF"/>
    <w:rsid w:val="001B2F72"/>
    <w:rsid w:val="001B3BA9"/>
    <w:rsid w:val="001B3D19"/>
    <w:rsid w:val="001B3D47"/>
    <w:rsid w:val="001B3F11"/>
    <w:rsid w:val="001B5199"/>
    <w:rsid w:val="001B5734"/>
    <w:rsid w:val="001B5DEA"/>
    <w:rsid w:val="001B610D"/>
    <w:rsid w:val="001B67E8"/>
    <w:rsid w:val="001B6D04"/>
    <w:rsid w:val="001B710A"/>
    <w:rsid w:val="001B7333"/>
    <w:rsid w:val="001B73EF"/>
    <w:rsid w:val="001B7718"/>
    <w:rsid w:val="001C109D"/>
    <w:rsid w:val="001C1564"/>
    <w:rsid w:val="001C19EB"/>
    <w:rsid w:val="001C1B7B"/>
    <w:rsid w:val="001C237D"/>
    <w:rsid w:val="001C24D2"/>
    <w:rsid w:val="001C2CB9"/>
    <w:rsid w:val="001C3632"/>
    <w:rsid w:val="001C43C8"/>
    <w:rsid w:val="001C455B"/>
    <w:rsid w:val="001C474C"/>
    <w:rsid w:val="001C525C"/>
    <w:rsid w:val="001C597C"/>
    <w:rsid w:val="001C5CD4"/>
    <w:rsid w:val="001C5E60"/>
    <w:rsid w:val="001C5EAF"/>
    <w:rsid w:val="001C6314"/>
    <w:rsid w:val="001C6B5A"/>
    <w:rsid w:val="001C6F4B"/>
    <w:rsid w:val="001C73DF"/>
    <w:rsid w:val="001C740A"/>
    <w:rsid w:val="001D031F"/>
    <w:rsid w:val="001D0A43"/>
    <w:rsid w:val="001D0B2B"/>
    <w:rsid w:val="001D0BF9"/>
    <w:rsid w:val="001D13D1"/>
    <w:rsid w:val="001D336F"/>
    <w:rsid w:val="001D419B"/>
    <w:rsid w:val="001D4618"/>
    <w:rsid w:val="001D4C2B"/>
    <w:rsid w:val="001D55D8"/>
    <w:rsid w:val="001D58D3"/>
    <w:rsid w:val="001D5BA4"/>
    <w:rsid w:val="001D69E5"/>
    <w:rsid w:val="001E055F"/>
    <w:rsid w:val="001E0776"/>
    <w:rsid w:val="001E0AA0"/>
    <w:rsid w:val="001E1474"/>
    <w:rsid w:val="001E154D"/>
    <w:rsid w:val="001E3087"/>
    <w:rsid w:val="001E33B5"/>
    <w:rsid w:val="001E39C6"/>
    <w:rsid w:val="001E443C"/>
    <w:rsid w:val="001E46F7"/>
    <w:rsid w:val="001E4BB6"/>
    <w:rsid w:val="001E5E9F"/>
    <w:rsid w:val="001E69DB"/>
    <w:rsid w:val="001E6BE2"/>
    <w:rsid w:val="001F16A2"/>
    <w:rsid w:val="001F1B26"/>
    <w:rsid w:val="001F37BE"/>
    <w:rsid w:val="001F4799"/>
    <w:rsid w:val="001F4AAD"/>
    <w:rsid w:val="001F4AC3"/>
    <w:rsid w:val="001F4CF7"/>
    <w:rsid w:val="001F6B0A"/>
    <w:rsid w:val="001F7013"/>
    <w:rsid w:val="002006E7"/>
    <w:rsid w:val="00200E14"/>
    <w:rsid w:val="00202327"/>
    <w:rsid w:val="00202A9F"/>
    <w:rsid w:val="00202DED"/>
    <w:rsid w:val="00203D82"/>
    <w:rsid w:val="002042EA"/>
    <w:rsid w:val="002055B1"/>
    <w:rsid w:val="00205DF2"/>
    <w:rsid w:val="00205F9D"/>
    <w:rsid w:val="0020615D"/>
    <w:rsid w:val="00206F84"/>
    <w:rsid w:val="00207B03"/>
    <w:rsid w:val="00211967"/>
    <w:rsid w:val="00211ADA"/>
    <w:rsid w:val="00211DEB"/>
    <w:rsid w:val="00212070"/>
    <w:rsid w:val="0021218A"/>
    <w:rsid w:val="0021250C"/>
    <w:rsid w:val="00212976"/>
    <w:rsid w:val="002134AF"/>
    <w:rsid w:val="00214D5E"/>
    <w:rsid w:val="00214F92"/>
    <w:rsid w:val="002154BC"/>
    <w:rsid w:val="0021592A"/>
    <w:rsid w:val="00216C3F"/>
    <w:rsid w:val="00217C9E"/>
    <w:rsid w:val="00220040"/>
    <w:rsid w:val="00220589"/>
    <w:rsid w:val="0022077C"/>
    <w:rsid w:val="00220C1C"/>
    <w:rsid w:val="002210E4"/>
    <w:rsid w:val="00221470"/>
    <w:rsid w:val="00221BF4"/>
    <w:rsid w:val="002229A1"/>
    <w:rsid w:val="00222AAC"/>
    <w:rsid w:val="00223B21"/>
    <w:rsid w:val="00223E7C"/>
    <w:rsid w:val="00224C41"/>
    <w:rsid w:val="00224D55"/>
    <w:rsid w:val="00225616"/>
    <w:rsid w:val="00225919"/>
    <w:rsid w:val="00225DA4"/>
    <w:rsid w:val="00227B3C"/>
    <w:rsid w:val="00230FFB"/>
    <w:rsid w:val="00232081"/>
    <w:rsid w:val="002322CF"/>
    <w:rsid w:val="0023261A"/>
    <w:rsid w:val="0023269B"/>
    <w:rsid w:val="00232C4B"/>
    <w:rsid w:val="0023373B"/>
    <w:rsid w:val="002342AA"/>
    <w:rsid w:val="002344EF"/>
    <w:rsid w:val="00236CB9"/>
    <w:rsid w:val="002401D0"/>
    <w:rsid w:val="00240357"/>
    <w:rsid w:val="00240C5D"/>
    <w:rsid w:val="00241421"/>
    <w:rsid w:val="0024238B"/>
    <w:rsid w:val="0024263E"/>
    <w:rsid w:val="00242CA7"/>
    <w:rsid w:val="00242FED"/>
    <w:rsid w:val="00244D37"/>
    <w:rsid w:val="00246A8E"/>
    <w:rsid w:val="0025054E"/>
    <w:rsid w:val="00250F35"/>
    <w:rsid w:val="00251B01"/>
    <w:rsid w:val="00251F78"/>
    <w:rsid w:val="00252165"/>
    <w:rsid w:val="00252A21"/>
    <w:rsid w:val="00252A6A"/>
    <w:rsid w:val="0025412C"/>
    <w:rsid w:val="002546F2"/>
    <w:rsid w:val="00257290"/>
    <w:rsid w:val="00257A32"/>
    <w:rsid w:val="00260628"/>
    <w:rsid w:val="00260B2C"/>
    <w:rsid w:val="00260EB3"/>
    <w:rsid w:val="0026136C"/>
    <w:rsid w:val="0026171A"/>
    <w:rsid w:val="00261B67"/>
    <w:rsid w:val="0026219A"/>
    <w:rsid w:val="002622EB"/>
    <w:rsid w:val="00262BC7"/>
    <w:rsid w:val="00264A9D"/>
    <w:rsid w:val="0026532B"/>
    <w:rsid w:val="0026570E"/>
    <w:rsid w:val="00266126"/>
    <w:rsid w:val="0026673C"/>
    <w:rsid w:val="00266832"/>
    <w:rsid w:val="00266B28"/>
    <w:rsid w:val="00266F1D"/>
    <w:rsid w:val="00267F17"/>
    <w:rsid w:val="0027039B"/>
    <w:rsid w:val="00270B78"/>
    <w:rsid w:val="00271573"/>
    <w:rsid w:val="002719CD"/>
    <w:rsid w:val="00271F66"/>
    <w:rsid w:val="00273149"/>
    <w:rsid w:val="00273428"/>
    <w:rsid w:val="0027440A"/>
    <w:rsid w:val="00274486"/>
    <w:rsid w:val="00274ACB"/>
    <w:rsid w:val="00274E8C"/>
    <w:rsid w:val="00276711"/>
    <w:rsid w:val="00277E98"/>
    <w:rsid w:val="00280311"/>
    <w:rsid w:val="00280991"/>
    <w:rsid w:val="00281723"/>
    <w:rsid w:val="00281E37"/>
    <w:rsid w:val="00281F9B"/>
    <w:rsid w:val="00282130"/>
    <w:rsid w:val="00282142"/>
    <w:rsid w:val="00282B74"/>
    <w:rsid w:val="0028300B"/>
    <w:rsid w:val="002835F8"/>
    <w:rsid w:val="00283B88"/>
    <w:rsid w:val="00283D70"/>
    <w:rsid w:val="00283F6C"/>
    <w:rsid w:val="00283FBA"/>
    <w:rsid w:val="00284318"/>
    <w:rsid w:val="00284A76"/>
    <w:rsid w:val="00285894"/>
    <w:rsid w:val="002873D0"/>
    <w:rsid w:val="00287553"/>
    <w:rsid w:val="002910FE"/>
    <w:rsid w:val="002911AC"/>
    <w:rsid w:val="00291A50"/>
    <w:rsid w:val="00291A88"/>
    <w:rsid w:val="00291B05"/>
    <w:rsid w:val="00291CBD"/>
    <w:rsid w:val="00292778"/>
    <w:rsid w:val="002935FC"/>
    <w:rsid w:val="0029501D"/>
    <w:rsid w:val="00295336"/>
    <w:rsid w:val="0029559F"/>
    <w:rsid w:val="0029595D"/>
    <w:rsid w:val="00297064"/>
    <w:rsid w:val="002974BD"/>
    <w:rsid w:val="00297676"/>
    <w:rsid w:val="00297B92"/>
    <w:rsid w:val="002A0700"/>
    <w:rsid w:val="002A0EC2"/>
    <w:rsid w:val="002A1A67"/>
    <w:rsid w:val="002A28DC"/>
    <w:rsid w:val="002A3494"/>
    <w:rsid w:val="002A3B23"/>
    <w:rsid w:val="002A507A"/>
    <w:rsid w:val="002A51E8"/>
    <w:rsid w:val="002A58D1"/>
    <w:rsid w:val="002A6273"/>
    <w:rsid w:val="002A6F0D"/>
    <w:rsid w:val="002A6F81"/>
    <w:rsid w:val="002A70EB"/>
    <w:rsid w:val="002B00D8"/>
    <w:rsid w:val="002B028C"/>
    <w:rsid w:val="002B07F9"/>
    <w:rsid w:val="002B265E"/>
    <w:rsid w:val="002B2776"/>
    <w:rsid w:val="002B2FB4"/>
    <w:rsid w:val="002B47FB"/>
    <w:rsid w:val="002B5479"/>
    <w:rsid w:val="002B5958"/>
    <w:rsid w:val="002B68A1"/>
    <w:rsid w:val="002C1EEB"/>
    <w:rsid w:val="002C1FF5"/>
    <w:rsid w:val="002C245B"/>
    <w:rsid w:val="002C3951"/>
    <w:rsid w:val="002C39D9"/>
    <w:rsid w:val="002C3BBF"/>
    <w:rsid w:val="002C4D07"/>
    <w:rsid w:val="002C4E2E"/>
    <w:rsid w:val="002C6F99"/>
    <w:rsid w:val="002C7A0C"/>
    <w:rsid w:val="002C7EC7"/>
    <w:rsid w:val="002D08F6"/>
    <w:rsid w:val="002D18A1"/>
    <w:rsid w:val="002D26F4"/>
    <w:rsid w:val="002D273F"/>
    <w:rsid w:val="002D3D2D"/>
    <w:rsid w:val="002D40C1"/>
    <w:rsid w:val="002D4852"/>
    <w:rsid w:val="002D4E42"/>
    <w:rsid w:val="002D58B5"/>
    <w:rsid w:val="002D5B45"/>
    <w:rsid w:val="002D6A7E"/>
    <w:rsid w:val="002E06C4"/>
    <w:rsid w:val="002E10D3"/>
    <w:rsid w:val="002E144C"/>
    <w:rsid w:val="002E1C43"/>
    <w:rsid w:val="002E347C"/>
    <w:rsid w:val="002E3525"/>
    <w:rsid w:val="002E3EA2"/>
    <w:rsid w:val="002E443C"/>
    <w:rsid w:val="002E45E0"/>
    <w:rsid w:val="002E48EB"/>
    <w:rsid w:val="002E4D30"/>
    <w:rsid w:val="002E4D50"/>
    <w:rsid w:val="002E50A4"/>
    <w:rsid w:val="002E5A28"/>
    <w:rsid w:val="002E5A58"/>
    <w:rsid w:val="002E62A7"/>
    <w:rsid w:val="002E69DA"/>
    <w:rsid w:val="002E69FA"/>
    <w:rsid w:val="002E6E8F"/>
    <w:rsid w:val="002E6EE7"/>
    <w:rsid w:val="002E73B4"/>
    <w:rsid w:val="002E763C"/>
    <w:rsid w:val="002F09D3"/>
    <w:rsid w:val="002F0D93"/>
    <w:rsid w:val="002F0EC0"/>
    <w:rsid w:val="002F1459"/>
    <w:rsid w:val="002F1CC3"/>
    <w:rsid w:val="002F1E60"/>
    <w:rsid w:val="002F2A43"/>
    <w:rsid w:val="002F33D1"/>
    <w:rsid w:val="002F3753"/>
    <w:rsid w:val="002F3DA2"/>
    <w:rsid w:val="002F4CE5"/>
    <w:rsid w:val="002F501E"/>
    <w:rsid w:val="002F556D"/>
    <w:rsid w:val="002F5EAB"/>
    <w:rsid w:val="002F609C"/>
    <w:rsid w:val="002F6275"/>
    <w:rsid w:val="002F649E"/>
    <w:rsid w:val="002F67DF"/>
    <w:rsid w:val="00301014"/>
    <w:rsid w:val="00302FC5"/>
    <w:rsid w:val="003034AC"/>
    <w:rsid w:val="00303B9D"/>
    <w:rsid w:val="003049BA"/>
    <w:rsid w:val="00304A6D"/>
    <w:rsid w:val="00305744"/>
    <w:rsid w:val="003061AF"/>
    <w:rsid w:val="0030686E"/>
    <w:rsid w:val="00306D54"/>
    <w:rsid w:val="00307918"/>
    <w:rsid w:val="003079D2"/>
    <w:rsid w:val="00307C55"/>
    <w:rsid w:val="0031094C"/>
    <w:rsid w:val="00312AC7"/>
    <w:rsid w:val="00313888"/>
    <w:rsid w:val="00314192"/>
    <w:rsid w:val="00315069"/>
    <w:rsid w:val="00316A22"/>
    <w:rsid w:val="003173A2"/>
    <w:rsid w:val="003208D9"/>
    <w:rsid w:val="0032214D"/>
    <w:rsid w:val="003223B2"/>
    <w:rsid w:val="00322616"/>
    <w:rsid w:val="003234C1"/>
    <w:rsid w:val="0032431C"/>
    <w:rsid w:val="00324401"/>
    <w:rsid w:val="003245A2"/>
    <w:rsid w:val="0032550B"/>
    <w:rsid w:val="00325791"/>
    <w:rsid w:val="003262AD"/>
    <w:rsid w:val="00326D2A"/>
    <w:rsid w:val="00327549"/>
    <w:rsid w:val="003276FD"/>
    <w:rsid w:val="003279DC"/>
    <w:rsid w:val="00327CCA"/>
    <w:rsid w:val="00327EDB"/>
    <w:rsid w:val="003320FA"/>
    <w:rsid w:val="003324CC"/>
    <w:rsid w:val="00332534"/>
    <w:rsid w:val="0033315C"/>
    <w:rsid w:val="0033356A"/>
    <w:rsid w:val="00333A30"/>
    <w:rsid w:val="00334F93"/>
    <w:rsid w:val="00336552"/>
    <w:rsid w:val="00337297"/>
    <w:rsid w:val="00337E2A"/>
    <w:rsid w:val="00340002"/>
    <w:rsid w:val="00340802"/>
    <w:rsid w:val="00341196"/>
    <w:rsid w:val="003411AC"/>
    <w:rsid w:val="00341611"/>
    <w:rsid w:val="003418C1"/>
    <w:rsid w:val="0034243B"/>
    <w:rsid w:val="00342E30"/>
    <w:rsid w:val="0034355B"/>
    <w:rsid w:val="003440D8"/>
    <w:rsid w:val="00344A16"/>
    <w:rsid w:val="00344C20"/>
    <w:rsid w:val="00345908"/>
    <w:rsid w:val="00345B8E"/>
    <w:rsid w:val="00345BD3"/>
    <w:rsid w:val="00346243"/>
    <w:rsid w:val="00346B66"/>
    <w:rsid w:val="003475CA"/>
    <w:rsid w:val="003479DF"/>
    <w:rsid w:val="00347B20"/>
    <w:rsid w:val="0035020C"/>
    <w:rsid w:val="00350A08"/>
    <w:rsid w:val="00350A37"/>
    <w:rsid w:val="00350D85"/>
    <w:rsid w:val="00351019"/>
    <w:rsid w:val="003515F6"/>
    <w:rsid w:val="00351C94"/>
    <w:rsid w:val="0035312A"/>
    <w:rsid w:val="00354BB9"/>
    <w:rsid w:val="00355394"/>
    <w:rsid w:val="00355F80"/>
    <w:rsid w:val="00356089"/>
    <w:rsid w:val="003567D0"/>
    <w:rsid w:val="00357970"/>
    <w:rsid w:val="00361616"/>
    <w:rsid w:val="00362C24"/>
    <w:rsid w:val="003631A5"/>
    <w:rsid w:val="00363CDD"/>
    <w:rsid w:val="00363DC8"/>
    <w:rsid w:val="003645A0"/>
    <w:rsid w:val="00364656"/>
    <w:rsid w:val="00364A15"/>
    <w:rsid w:val="00364ADD"/>
    <w:rsid w:val="00364E35"/>
    <w:rsid w:val="00365BC4"/>
    <w:rsid w:val="00365E5D"/>
    <w:rsid w:val="00367044"/>
    <w:rsid w:val="003670E8"/>
    <w:rsid w:val="00367568"/>
    <w:rsid w:val="00367A8B"/>
    <w:rsid w:val="00367BB6"/>
    <w:rsid w:val="003703DA"/>
    <w:rsid w:val="00371097"/>
    <w:rsid w:val="003714B9"/>
    <w:rsid w:val="00371711"/>
    <w:rsid w:val="00371778"/>
    <w:rsid w:val="0037239D"/>
    <w:rsid w:val="00372462"/>
    <w:rsid w:val="003739FD"/>
    <w:rsid w:val="003742BE"/>
    <w:rsid w:val="00374514"/>
    <w:rsid w:val="00375260"/>
    <w:rsid w:val="00375665"/>
    <w:rsid w:val="0037593E"/>
    <w:rsid w:val="003764EF"/>
    <w:rsid w:val="0037709B"/>
    <w:rsid w:val="0037746C"/>
    <w:rsid w:val="0037748C"/>
    <w:rsid w:val="00380E1A"/>
    <w:rsid w:val="00381D4F"/>
    <w:rsid w:val="00381D60"/>
    <w:rsid w:val="00382D35"/>
    <w:rsid w:val="00382D47"/>
    <w:rsid w:val="00383325"/>
    <w:rsid w:val="003839F3"/>
    <w:rsid w:val="00384613"/>
    <w:rsid w:val="003848E1"/>
    <w:rsid w:val="00385192"/>
    <w:rsid w:val="00385EA8"/>
    <w:rsid w:val="00386315"/>
    <w:rsid w:val="003863CC"/>
    <w:rsid w:val="0038662A"/>
    <w:rsid w:val="00387741"/>
    <w:rsid w:val="00390E2F"/>
    <w:rsid w:val="003914A9"/>
    <w:rsid w:val="00391A43"/>
    <w:rsid w:val="00391D62"/>
    <w:rsid w:val="0039240B"/>
    <w:rsid w:val="00392AD5"/>
    <w:rsid w:val="00392C62"/>
    <w:rsid w:val="00393009"/>
    <w:rsid w:val="00394124"/>
    <w:rsid w:val="003946AF"/>
    <w:rsid w:val="00395A21"/>
    <w:rsid w:val="00395EBA"/>
    <w:rsid w:val="0039791A"/>
    <w:rsid w:val="003A057D"/>
    <w:rsid w:val="003A0EF4"/>
    <w:rsid w:val="003A1889"/>
    <w:rsid w:val="003A218C"/>
    <w:rsid w:val="003A21D4"/>
    <w:rsid w:val="003A2DEB"/>
    <w:rsid w:val="003A2F0D"/>
    <w:rsid w:val="003A3CB3"/>
    <w:rsid w:val="003A4B49"/>
    <w:rsid w:val="003A4CEE"/>
    <w:rsid w:val="003A5341"/>
    <w:rsid w:val="003A563D"/>
    <w:rsid w:val="003A5E80"/>
    <w:rsid w:val="003A6117"/>
    <w:rsid w:val="003A614C"/>
    <w:rsid w:val="003A6267"/>
    <w:rsid w:val="003B0416"/>
    <w:rsid w:val="003B092F"/>
    <w:rsid w:val="003B112A"/>
    <w:rsid w:val="003B1B48"/>
    <w:rsid w:val="003B2D7B"/>
    <w:rsid w:val="003B324D"/>
    <w:rsid w:val="003B5A3C"/>
    <w:rsid w:val="003B5ABF"/>
    <w:rsid w:val="003B5DBA"/>
    <w:rsid w:val="003B77E3"/>
    <w:rsid w:val="003B7812"/>
    <w:rsid w:val="003C134A"/>
    <w:rsid w:val="003C1982"/>
    <w:rsid w:val="003C1E86"/>
    <w:rsid w:val="003C2521"/>
    <w:rsid w:val="003C442A"/>
    <w:rsid w:val="003C45AE"/>
    <w:rsid w:val="003C4EF1"/>
    <w:rsid w:val="003C6140"/>
    <w:rsid w:val="003C68ED"/>
    <w:rsid w:val="003C69D5"/>
    <w:rsid w:val="003C6C01"/>
    <w:rsid w:val="003C6D9F"/>
    <w:rsid w:val="003C6EBD"/>
    <w:rsid w:val="003C7317"/>
    <w:rsid w:val="003C76D3"/>
    <w:rsid w:val="003C7A57"/>
    <w:rsid w:val="003D0C85"/>
    <w:rsid w:val="003D180C"/>
    <w:rsid w:val="003D1AF5"/>
    <w:rsid w:val="003D1F0F"/>
    <w:rsid w:val="003D246E"/>
    <w:rsid w:val="003D3160"/>
    <w:rsid w:val="003D4976"/>
    <w:rsid w:val="003D4A65"/>
    <w:rsid w:val="003D4C57"/>
    <w:rsid w:val="003D50E9"/>
    <w:rsid w:val="003D512A"/>
    <w:rsid w:val="003D51DD"/>
    <w:rsid w:val="003D5379"/>
    <w:rsid w:val="003D5A95"/>
    <w:rsid w:val="003D5C03"/>
    <w:rsid w:val="003D5F0C"/>
    <w:rsid w:val="003D632B"/>
    <w:rsid w:val="003D6A21"/>
    <w:rsid w:val="003D6CBE"/>
    <w:rsid w:val="003D78A9"/>
    <w:rsid w:val="003D79AD"/>
    <w:rsid w:val="003D7C7D"/>
    <w:rsid w:val="003E070E"/>
    <w:rsid w:val="003E1876"/>
    <w:rsid w:val="003E2F1B"/>
    <w:rsid w:val="003E32ED"/>
    <w:rsid w:val="003E3712"/>
    <w:rsid w:val="003E7F7F"/>
    <w:rsid w:val="003F02E7"/>
    <w:rsid w:val="003F1B86"/>
    <w:rsid w:val="003F2324"/>
    <w:rsid w:val="003F2A67"/>
    <w:rsid w:val="003F3610"/>
    <w:rsid w:val="003F3932"/>
    <w:rsid w:val="003F3C37"/>
    <w:rsid w:val="003F44DF"/>
    <w:rsid w:val="003F46C6"/>
    <w:rsid w:val="003F53A9"/>
    <w:rsid w:val="003F659A"/>
    <w:rsid w:val="003F65F0"/>
    <w:rsid w:val="003F6C87"/>
    <w:rsid w:val="003F78FB"/>
    <w:rsid w:val="00400BA5"/>
    <w:rsid w:val="004011FC"/>
    <w:rsid w:val="004019A6"/>
    <w:rsid w:val="00401F1A"/>
    <w:rsid w:val="0040223B"/>
    <w:rsid w:val="004024B2"/>
    <w:rsid w:val="00402CAE"/>
    <w:rsid w:val="00402CD5"/>
    <w:rsid w:val="004032E7"/>
    <w:rsid w:val="004033D8"/>
    <w:rsid w:val="0040351C"/>
    <w:rsid w:val="004035D4"/>
    <w:rsid w:val="00403749"/>
    <w:rsid w:val="00403BD3"/>
    <w:rsid w:val="004045E8"/>
    <w:rsid w:val="00404A51"/>
    <w:rsid w:val="00404C6E"/>
    <w:rsid w:val="004056C2"/>
    <w:rsid w:val="004056D9"/>
    <w:rsid w:val="0040605E"/>
    <w:rsid w:val="00407557"/>
    <w:rsid w:val="004114E3"/>
    <w:rsid w:val="00411D41"/>
    <w:rsid w:val="00412F89"/>
    <w:rsid w:val="00413766"/>
    <w:rsid w:val="00413ADA"/>
    <w:rsid w:val="00413ED8"/>
    <w:rsid w:val="004142AB"/>
    <w:rsid w:val="0041461E"/>
    <w:rsid w:val="0041463F"/>
    <w:rsid w:val="004153E4"/>
    <w:rsid w:val="00415F4C"/>
    <w:rsid w:val="00416F7F"/>
    <w:rsid w:val="0042044B"/>
    <w:rsid w:val="004208D6"/>
    <w:rsid w:val="00420A57"/>
    <w:rsid w:val="00420CBA"/>
    <w:rsid w:val="0042166F"/>
    <w:rsid w:val="00421751"/>
    <w:rsid w:val="00421991"/>
    <w:rsid w:val="00422EBD"/>
    <w:rsid w:val="004241B7"/>
    <w:rsid w:val="0042470B"/>
    <w:rsid w:val="00424E3E"/>
    <w:rsid w:val="0042542D"/>
    <w:rsid w:val="0042577B"/>
    <w:rsid w:val="00426E3A"/>
    <w:rsid w:val="0042720B"/>
    <w:rsid w:val="00430392"/>
    <w:rsid w:val="004304D9"/>
    <w:rsid w:val="00430708"/>
    <w:rsid w:val="00431EAF"/>
    <w:rsid w:val="0043596A"/>
    <w:rsid w:val="004368AE"/>
    <w:rsid w:val="00436D62"/>
    <w:rsid w:val="00436F60"/>
    <w:rsid w:val="00436FBD"/>
    <w:rsid w:val="00437439"/>
    <w:rsid w:val="00437552"/>
    <w:rsid w:val="0044050C"/>
    <w:rsid w:val="00440D06"/>
    <w:rsid w:val="00440F2A"/>
    <w:rsid w:val="0044148F"/>
    <w:rsid w:val="00441BA6"/>
    <w:rsid w:val="00442F1D"/>
    <w:rsid w:val="00443035"/>
    <w:rsid w:val="004431D3"/>
    <w:rsid w:val="004432C7"/>
    <w:rsid w:val="00443811"/>
    <w:rsid w:val="00443CAC"/>
    <w:rsid w:val="00443D96"/>
    <w:rsid w:val="004442C0"/>
    <w:rsid w:val="0044433F"/>
    <w:rsid w:val="004445BB"/>
    <w:rsid w:val="00444805"/>
    <w:rsid w:val="00445140"/>
    <w:rsid w:val="00445152"/>
    <w:rsid w:val="00445B88"/>
    <w:rsid w:val="00446EB7"/>
    <w:rsid w:val="00446F28"/>
    <w:rsid w:val="00447787"/>
    <w:rsid w:val="0045010A"/>
    <w:rsid w:val="00451359"/>
    <w:rsid w:val="0045135A"/>
    <w:rsid w:val="004518FB"/>
    <w:rsid w:val="00451E54"/>
    <w:rsid w:val="00451E94"/>
    <w:rsid w:val="004528F5"/>
    <w:rsid w:val="00452E4A"/>
    <w:rsid w:val="00453093"/>
    <w:rsid w:val="00453755"/>
    <w:rsid w:val="004545F6"/>
    <w:rsid w:val="00455B0F"/>
    <w:rsid w:val="00455EB8"/>
    <w:rsid w:val="00455FA2"/>
    <w:rsid w:val="00457964"/>
    <w:rsid w:val="0046166C"/>
    <w:rsid w:val="0046190D"/>
    <w:rsid w:val="00461A21"/>
    <w:rsid w:val="00461DA9"/>
    <w:rsid w:val="00462157"/>
    <w:rsid w:val="0046237E"/>
    <w:rsid w:val="00462549"/>
    <w:rsid w:val="00462F8A"/>
    <w:rsid w:val="00463272"/>
    <w:rsid w:val="004638E0"/>
    <w:rsid w:val="00463CE4"/>
    <w:rsid w:val="004647BA"/>
    <w:rsid w:val="0046695B"/>
    <w:rsid w:val="0046794E"/>
    <w:rsid w:val="00470576"/>
    <w:rsid w:val="004728C2"/>
    <w:rsid w:val="00473100"/>
    <w:rsid w:val="0047317B"/>
    <w:rsid w:val="00473571"/>
    <w:rsid w:val="0047394D"/>
    <w:rsid w:val="004739E3"/>
    <w:rsid w:val="0047400C"/>
    <w:rsid w:val="00474128"/>
    <w:rsid w:val="004748A3"/>
    <w:rsid w:val="00474A05"/>
    <w:rsid w:val="00474F01"/>
    <w:rsid w:val="00475440"/>
    <w:rsid w:val="004757F5"/>
    <w:rsid w:val="00475F3D"/>
    <w:rsid w:val="00476C03"/>
    <w:rsid w:val="00477062"/>
    <w:rsid w:val="00477960"/>
    <w:rsid w:val="00480481"/>
    <w:rsid w:val="00480BCA"/>
    <w:rsid w:val="004810D8"/>
    <w:rsid w:val="00481782"/>
    <w:rsid w:val="00482B67"/>
    <w:rsid w:val="004834FF"/>
    <w:rsid w:val="00484A8D"/>
    <w:rsid w:val="00484DF9"/>
    <w:rsid w:val="004851D5"/>
    <w:rsid w:val="004854E8"/>
    <w:rsid w:val="00485B2A"/>
    <w:rsid w:val="004860B2"/>
    <w:rsid w:val="00486CEF"/>
    <w:rsid w:val="00486E21"/>
    <w:rsid w:val="00486ECC"/>
    <w:rsid w:val="00486FFD"/>
    <w:rsid w:val="0049099F"/>
    <w:rsid w:val="00491840"/>
    <w:rsid w:val="004930A7"/>
    <w:rsid w:val="004944E7"/>
    <w:rsid w:val="004950D3"/>
    <w:rsid w:val="00495237"/>
    <w:rsid w:val="0049534F"/>
    <w:rsid w:val="0049581A"/>
    <w:rsid w:val="004959D9"/>
    <w:rsid w:val="00496E5B"/>
    <w:rsid w:val="004979FB"/>
    <w:rsid w:val="004A04B2"/>
    <w:rsid w:val="004A2853"/>
    <w:rsid w:val="004A2A0E"/>
    <w:rsid w:val="004A2DBC"/>
    <w:rsid w:val="004A2DE0"/>
    <w:rsid w:val="004A3430"/>
    <w:rsid w:val="004A35B8"/>
    <w:rsid w:val="004A379D"/>
    <w:rsid w:val="004A53E8"/>
    <w:rsid w:val="004A57BA"/>
    <w:rsid w:val="004A5BE7"/>
    <w:rsid w:val="004A6FDE"/>
    <w:rsid w:val="004A73F6"/>
    <w:rsid w:val="004A7572"/>
    <w:rsid w:val="004A7AAE"/>
    <w:rsid w:val="004B00B9"/>
    <w:rsid w:val="004B0E84"/>
    <w:rsid w:val="004B138D"/>
    <w:rsid w:val="004B1685"/>
    <w:rsid w:val="004B1B9A"/>
    <w:rsid w:val="004B28D7"/>
    <w:rsid w:val="004B31CD"/>
    <w:rsid w:val="004B47CE"/>
    <w:rsid w:val="004B4A7A"/>
    <w:rsid w:val="004B5098"/>
    <w:rsid w:val="004B54FB"/>
    <w:rsid w:val="004B618F"/>
    <w:rsid w:val="004B6779"/>
    <w:rsid w:val="004B6914"/>
    <w:rsid w:val="004B6A12"/>
    <w:rsid w:val="004B6A6C"/>
    <w:rsid w:val="004B758F"/>
    <w:rsid w:val="004B75FF"/>
    <w:rsid w:val="004B7FB7"/>
    <w:rsid w:val="004C147C"/>
    <w:rsid w:val="004C1FA1"/>
    <w:rsid w:val="004C23E1"/>
    <w:rsid w:val="004C2E1A"/>
    <w:rsid w:val="004C320D"/>
    <w:rsid w:val="004C38B1"/>
    <w:rsid w:val="004C3C58"/>
    <w:rsid w:val="004C3C84"/>
    <w:rsid w:val="004C3D1F"/>
    <w:rsid w:val="004C4020"/>
    <w:rsid w:val="004C58E1"/>
    <w:rsid w:val="004C644D"/>
    <w:rsid w:val="004C76CE"/>
    <w:rsid w:val="004C773B"/>
    <w:rsid w:val="004C78CE"/>
    <w:rsid w:val="004D0A32"/>
    <w:rsid w:val="004D0A41"/>
    <w:rsid w:val="004D0D0A"/>
    <w:rsid w:val="004D1BBB"/>
    <w:rsid w:val="004D2058"/>
    <w:rsid w:val="004D24C7"/>
    <w:rsid w:val="004D38E9"/>
    <w:rsid w:val="004D3F64"/>
    <w:rsid w:val="004D4552"/>
    <w:rsid w:val="004D499F"/>
    <w:rsid w:val="004D503C"/>
    <w:rsid w:val="004D54FE"/>
    <w:rsid w:val="004D5745"/>
    <w:rsid w:val="004D5A34"/>
    <w:rsid w:val="004D5B8B"/>
    <w:rsid w:val="004D6EA8"/>
    <w:rsid w:val="004D79C5"/>
    <w:rsid w:val="004D7F9F"/>
    <w:rsid w:val="004E0250"/>
    <w:rsid w:val="004E1CC3"/>
    <w:rsid w:val="004E1EC0"/>
    <w:rsid w:val="004E2A7F"/>
    <w:rsid w:val="004E3182"/>
    <w:rsid w:val="004E31DA"/>
    <w:rsid w:val="004E32A2"/>
    <w:rsid w:val="004E36D4"/>
    <w:rsid w:val="004E3F89"/>
    <w:rsid w:val="004E4486"/>
    <w:rsid w:val="004E4D2C"/>
    <w:rsid w:val="004E4E8D"/>
    <w:rsid w:val="004E52C8"/>
    <w:rsid w:val="004E5A5D"/>
    <w:rsid w:val="004E616F"/>
    <w:rsid w:val="004F08C9"/>
    <w:rsid w:val="004F177F"/>
    <w:rsid w:val="004F1A8E"/>
    <w:rsid w:val="004F2FAD"/>
    <w:rsid w:val="004F3244"/>
    <w:rsid w:val="004F3499"/>
    <w:rsid w:val="004F39F1"/>
    <w:rsid w:val="004F3CBB"/>
    <w:rsid w:val="004F52ED"/>
    <w:rsid w:val="004F7289"/>
    <w:rsid w:val="004F7744"/>
    <w:rsid w:val="004F7BB9"/>
    <w:rsid w:val="004F7EF6"/>
    <w:rsid w:val="00500AA5"/>
    <w:rsid w:val="00501231"/>
    <w:rsid w:val="00502625"/>
    <w:rsid w:val="0050284E"/>
    <w:rsid w:val="005028C8"/>
    <w:rsid w:val="00502BEB"/>
    <w:rsid w:val="00502E13"/>
    <w:rsid w:val="00502E84"/>
    <w:rsid w:val="00502F82"/>
    <w:rsid w:val="00503B4B"/>
    <w:rsid w:val="00504936"/>
    <w:rsid w:val="00504C84"/>
    <w:rsid w:val="005101EF"/>
    <w:rsid w:val="00510D8F"/>
    <w:rsid w:val="00511208"/>
    <w:rsid w:val="005113D6"/>
    <w:rsid w:val="00512BBF"/>
    <w:rsid w:val="00512E13"/>
    <w:rsid w:val="005135E4"/>
    <w:rsid w:val="00514B86"/>
    <w:rsid w:val="00515745"/>
    <w:rsid w:val="005159BC"/>
    <w:rsid w:val="005159BF"/>
    <w:rsid w:val="005165B1"/>
    <w:rsid w:val="00516CB6"/>
    <w:rsid w:val="005177A5"/>
    <w:rsid w:val="005178B5"/>
    <w:rsid w:val="00520902"/>
    <w:rsid w:val="00520F45"/>
    <w:rsid w:val="00521744"/>
    <w:rsid w:val="0052186F"/>
    <w:rsid w:val="005221FC"/>
    <w:rsid w:val="005227CC"/>
    <w:rsid w:val="00523B2C"/>
    <w:rsid w:val="005242D6"/>
    <w:rsid w:val="00524AB2"/>
    <w:rsid w:val="00524AE0"/>
    <w:rsid w:val="00525E82"/>
    <w:rsid w:val="00525F91"/>
    <w:rsid w:val="00526BB8"/>
    <w:rsid w:val="00526D49"/>
    <w:rsid w:val="005270EF"/>
    <w:rsid w:val="0052717F"/>
    <w:rsid w:val="00527AAF"/>
    <w:rsid w:val="005312C3"/>
    <w:rsid w:val="0053454D"/>
    <w:rsid w:val="00534612"/>
    <w:rsid w:val="00534FB2"/>
    <w:rsid w:val="005350EC"/>
    <w:rsid w:val="005405F8"/>
    <w:rsid w:val="005409FD"/>
    <w:rsid w:val="0054107D"/>
    <w:rsid w:val="005412AF"/>
    <w:rsid w:val="00541317"/>
    <w:rsid w:val="005426E0"/>
    <w:rsid w:val="0054390C"/>
    <w:rsid w:val="00544041"/>
    <w:rsid w:val="005447B8"/>
    <w:rsid w:val="005449A6"/>
    <w:rsid w:val="005454B2"/>
    <w:rsid w:val="00546423"/>
    <w:rsid w:val="00546628"/>
    <w:rsid w:val="00546BEC"/>
    <w:rsid w:val="005501E4"/>
    <w:rsid w:val="0055171C"/>
    <w:rsid w:val="00551CA5"/>
    <w:rsid w:val="005529B7"/>
    <w:rsid w:val="0055312B"/>
    <w:rsid w:val="00553485"/>
    <w:rsid w:val="00553E97"/>
    <w:rsid w:val="00555C0F"/>
    <w:rsid w:val="00556726"/>
    <w:rsid w:val="00556795"/>
    <w:rsid w:val="00560C5B"/>
    <w:rsid w:val="00560D7C"/>
    <w:rsid w:val="00560F55"/>
    <w:rsid w:val="00561F6A"/>
    <w:rsid w:val="00562E8B"/>
    <w:rsid w:val="0056375B"/>
    <w:rsid w:val="00563D58"/>
    <w:rsid w:val="005642F5"/>
    <w:rsid w:val="00564C41"/>
    <w:rsid w:val="00564EF2"/>
    <w:rsid w:val="00565465"/>
    <w:rsid w:val="0056653B"/>
    <w:rsid w:val="00567444"/>
    <w:rsid w:val="005720CA"/>
    <w:rsid w:val="00572E87"/>
    <w:rsid w:val="005734B5"/>
    <w:rsid w:val="005744D5"/>
    <w:rsid w:val="005752A6"/>
    <w:rsid w:val="005752F6"/>
    <w:rsid w:val="0057533E"/>
    <w:rsid w:val="00575901"/>
    <w:rsid w:val="00575EEC"/>
    <w:rsid w:val="0057661D"/>
    <w:rsid w:val="00576FD3"/>
    <w:rsid w:val="00576FFD"/>
    <w:rsid w:val="0057761B"/>
    <w:rsid w:val="00581759"/>
    <w:rsid w:val="005838B6"/>
    <w:rsid w:val="00583E1E"/>
    <w:rsid w:val="005840B6"/>
    <w:rsid w:val="00584150"/>
    <w:rsid w:val="00585577"/>
    <w:rsid w:val="0058568B"/>
    <w:rsid w:val="00585831"/>
    <w:rsid w:val="00585DAC"/>
    <w:rsid w:val="00585DE1"/>
    <w:rsid w:val="00586737"/>
    <w:rsid w:val="00587584"/>
    <w:rsid w:val="00590958"/>
    <w:rsid w:val="00590ED4"/>
    <w:rsid w:val="005917B5"/>
    <w:rsid w:val="005917D5"/>
    <w:rsid w:val="00591B48"/>
    <w:rsid w:val="005923C8"/>
    <w:rsid w:val="00592CAC"/>
    <w:rsid w:val="005931A3"/>
    <w:rsid w:val="00595890"/>
    <w:rsid w:val="00595EC4"/>
    <w:rsid w:val="00596135"/>
    <w:rsid w:val="005A00F8"/>
    <w:rsid w:val="005A05D9"/>
    <w:rsid w:val="005A0619"/>
    <w:rsid w:val="005A100B"/>
    <w:rsid w:val="005A2B3E"/>
    <w:rsid w:val="005A3158"/>
    <w:rsid w:val="005A3A7B"/>
    <w:rsid w:val="005A4393"/>
    <w:rsid w:val="005A4B1C"/>
    <w:rsid w:val="005A59CF"/>
    <w:rsid w:val="005A6212"/>
    <w:rsid w:val="005A79AD"/>
    <w:rsid w:val="005B1D48"/>
    <w:rsid w:val="005B34A3"/>
    <w:rsid w:val="005B3555"/>
    <w:rsid w:val="005B363E"/>
    <w:rsid w:val="005B4E4B"/>
    <w:rsid w:val="005B5185"/>
    <w:rsid w:val="005B520E"/>
    <w:rsid w:val="005B62AD"/>
    <w:rsid w:val="005B6DF1"/>
    <w:rsid w:val="005B77FB"/>
    <w:rsid w:val="005B7A5C"/>
    <w:rsid w:val="005B7B59"/>
    <w:rsid w:val="005B7D07"/>
    <w:rsid w:val="005C03BD"/>
    <w:rsid w:val="005C0496"/>
    <w:rsid w:val="005C067D"/>
    <w:rsid w:val="005C09D8"/>
    <w:rsid w:val="005C1256"/>
    <w:rsid w:val="005C1423"/>
    <w:rsid w:val="005C405F"/>
    <w:rsid w:val="005C47E6"/>
    <w:rsid w:val="005C4FC7"/>
    <w:rsid w:val="005C5131"/>
    <w:rsid w:val="005C523B"/>
    <w:rsid w:val="005C52BB"/>
    <w:rsid w:val="005C6AAB"/>
    <w:rsid w:val="005C6EDA"/>
    <w:rsid w:val="005D03F9"/>
    <w:rsid w:val="005D0AF2"/>
    <w:rsid w:val="005D1174"/>
    <w:rsid w:val="005D1298"/>
    <w:rsid w:val="005D1483"/>
    <w:rsid w:val="005D1957"/>
    <w:rsid w:val="005D20DF"/>
    <w:rsid w:val="005D2A90"/>
    <w:rsid w:val="005D463C"/>
    <w:rsid w:val="005D50EB"/>
    <w:rsid w:val="005D5843"/>
    <w:rsid w:val="005D5BE3"/>
    <w:rsid w:val="005D5F2F"/>
    <w:rsid w:val="005D6F3F"/>
    <w:rsid w:val="005D7251"/>
    <w:rsid w:val="005D76EB"/>
    <w:rsid w:val="005E01F5"/>
    <w:rsid w:val="005E0DCC"/>
    <w:rsid w:val="005E0DEB"/>
    <w:rsid w:val="005E0F3C"/>
    <w:rsid w:val="005E2600"/>
    <w:rsid w:val="005E34D2"/>
    <w:rsid w:val="005E356E"/>
    <w:rsid w:val="005E4553"/>
    <w:rsid w:val="005E48E9"/>
    <w:rsid w:val="005E4A1E"/>
    <w:rsid w:val="005E4A94"/>
    <w:rsid w:val="005E5EF0"/>
    <w:rsid w:val="005E68F4"/>
    <w:rsid w:val="005E6952"/>
    <w:rsid w:val="005E7617"/>
    <w:rsid w:val="005F0951"/>
    <w:rsid w:val="005F14E4"/>
    <w:rsid w:val="005F1CF6"/>
    <w:rsid w:val="005F3E79"/>
    <w:rsid w:val="005F3FCD"/>
    <w:rsid w:val="005F4830"/>
    <w:rsid w:val="005F51A1"/>
    <w:rsid w:val="005F5B12"/>
    <w:rsid w:val="005F6D56"/>
    <w:rsid w:val="005F6EAF"/>
    <w:rsid w:val="005F70A8"/>
    <w:rsid w:val="006008C2"/>
    <w:rsid w:val="0060189E"/>
    <w:rsid w:val="00601F15"/>
    <w:rsid w:val="0060225F"/>
    <w:rsid w:val="00602621"/>
    <w:rsid w:val="00602E3A"/>
    <w:rsid w:val="006031D9"/>
    <w:rsid w:val="006035A6"/>
    <w:rsid w:val="00603CB5"/>
    <w:rsid w:val="00603CC8"/>
    <w:rsid w:val="00603E7A"/>
    <w:rsid w:val="006043F9"/>
    <w:rsid w:val="00605707"/>
    <w:rsid w:val="00606152"/>
    <w:rsid w:val="00607090"/>
    <w:rsid w:val="00607ACA"/>
    <w:rsid w:val="00611565"/>
    <w:rsid w:val="00611847"/>
    <w:rsid w:val="00612600"/>
    <w:rsid w:val="006126DD"/>
    <w:rsid w:val="00612B85"/>
    <w:rsid w:val="00614016"/>
    <w:rsid w:val="00614192"/>
    <w:rsid w:val="00614C28"/>
    <w:rsid w:val="00614FB8"/>
    <w:rsid w:val="00615617"/>
    <w:rsid w:val="00615710"/>
    <w:rsid w:val="00615CF6"/>
    <w:rsid w:val="00615DB3"/>
    <w:rsid w:val="0061636F"/>
    <w:rsid w:val="006203BA"/>
    <w:rsid w:val="00621022"/>
    <w:rsid w:val="00621AE8"/>
    <w:rsid w:val="006220BE"/>
    <w:rsid w:val="00622863"/>
    <w:rsid w:val="00622A9D"/>
    <w:rsid w:val="00622E7C"/>
    <w:rsid w:val="00623894"/>
    <w:rsid w:val="00623B86"/>
    <w:rsid w:val="0062462C"/>
    <w:rsid w:val="0062496F"/>
    <w:rsid w:val="00626C4F"/>
    <w:rsid w:val="00627215"/>
    <w:rsid w:val="006272DE"/>
    <w:rsid w:val="006276D4"/>
    <w:rsid w:val="00631605"/>
    <w:rsid w:val="00632168"/>
    <w:rsid w:val="0063254D"/>
    <w:rsid w:val="0063272C"/>
    <w:rsid w:val="006347E0"/>
    <w:rsid w:val="006348BB"/>
    <w:rsid w:val="00635790"/>
    <w:rsid w:val="00636147"/>
    <w:rsid w:val="00636A15"/>
    <w:rsid w:val="00636AA9"/>
    <w:rsid w:val="006370CF"/>
    <w:rsid w:val="00637512"/>
    <w:rsid w:val="00637561"/>
    <w:rsid w:val="00640559"/>
    <w:rsid w:val="00641A1A"/>
    <w:rsid w:val="00641BA4"/>
    <w:rsid w:val="00642405"/>
    <w:rsid w:val="00642A09"/>
    <w:rsid w:val="00642B66"/>
    <w:rsid w:val="00643DBC"/>
    <w:rsid w:val="00644703"/>
    <w:rsid w:val="00645153"/>
    <w:rsid w:val="00645600"/>
    <w:rsid w:val="0064599B"/>
    <w:rsid w:val="006459BF"/>
    <w:rsid w:val="00645D63"/>
    <w:rsid w:val="00645FA0"/>
    <w:rsid w:val="00646CCA"/>
    <w:rsid w:val="0064763F"/>
    <w:rsid w:val="006477EB"/>
    <w:rsid w:val="00647964"/>
    <w:rsid w:val="006479CB"/>
    <w:rsid w:val="00647C6C"/>
    <w:rsid w:val="006500FA"/>
    <w:rsid w:val="00650100"/>
    <w:rsid w:val="00650CCB"/>
    <w:rsid w:val="00651A00"/>
    <w:rsid w:val="0065234E"/>
    <w:rsid w:val="00652D99"/>
    <w:rsid w:val="00653E1E"/>
    <w:rsid w:val="0065412F"/>
    <w:rsid w:val="00654BA5"/>
    <w:rsid w:val="00654E95"/>
    <w:rsid w:val="00655D65"/>
    <w:rsid w:val="00660CD8"/>
    <w:rsid w:val="0066120F"/>
    <w:rsid w:val="00661305"/>
    <w:rsid w:val="006620DC"/>
    <w:rsid w:val="006630CD"/>
    <w:rsid w:val="006636DF"/>
    <w:rsid w:val="00663728"/>
    <w:rsid w:val="00664393"/>
    <w:rsid w:val="006647C7"/>
    <w:rsid w:val="00664A9C"/>
    <w:rsid w:val="00664F44"/>
    <w:rsid w:val="0066591F"/>
    <w:rsid w:val="00665EE0"/>
    <w:rsid w:val="0066775D"/>
    <w:rsid w:val="00670BC2"/>
    <w:rsid w:val="00671FED"/>
    <w:rsid w:val="006721C6"/>
    <w:rsid w:val="00672C2F"/>
    <w:rsid w:val="006739D3"/>
    <w:rsid w:val="00673D51"/>
    <w:rsid w:val="006744CE"/>
    <w:rsid w:val="0067494B"/>
    <w:rsid w:val="00674C54"/>
    <w:rsid w:val="006753F9"/>
    <w:rsid w:val="006759B5"/>
    <w:rsid w:val="00676883"/>
    <w:rsid w:val="00676A50"/>
    <w:rsid w:val="006775E0"/>
    <w:rsid w:val="0067798C"/>
    <w:rsid w:val="006804F5"/>
    <w:rsid w:val="00681294"/>
    <w:rsid w:val="0068180C"/>
    <w:rsid w:val="006818F8"/>
    <w:rsid w:val="00681C11"/>
    <w:rsid w:val="00682129"/>
    <w:rsid w:val="006829AC"/>
    <w:rsid w:val="00682E22"/>
    <w:rsid w:val="006832F8"/>
    <w:rsid w:val="006834C9"/>
    <w:rsid w:val="006836C6"/>
    <w:rsid w:val="00683842"/>
    <w:rsid w:val="00684834"/>
    <w:rsid w:val="00685457"/>
    <w:rsid w:val="00687BF6"/>
    <w:rsid w:val="00690312"/>
    <w:rsid w:val="00691939"/>
    <w:rsid w:val="00691986"/>
    <w:rsid w:val="00693D7A"/>
    <w:rsid w:val="00694347"/>
    <w:rsid w:val="00694DBF"/>
    <w:rsid w:val="00694E73"/>
    <w:rsid w:val="006964E8"/>
    <w:rsid w:val="00696588"/>
    <w:rsid w:val="006969C0"/>
    <w:rsid w:val="006979FF"/>
    <w:rsid w:val="006A00CA"/>
    <w:rsid w:val="006A0377"/>
    <w:rsid w:val="006A1B8C"/>
    <w:rsid w:val="006A2115"/>
    <w:rsid w:val="006A277D"/>
    <w:rsid w:val="006A28F4"/>
    <w:rsid w:val="006A3352"/>
    <w:rsid w:val="006A33E1"/>
    <w:rsid w:val="006A3738"/>
    <w:rsid w:val="006A404C"/>
    <w:rsid w:val="006A4815"/>
    <w:rsid w:val="006A5749"/>
    <w:rsid w:val="006A5ADE"/>
    <w:rsid w:val="006A5C65"/>
    <w:rsid w:val="006A7D76"/>
    <w:rsid w:val="006B001D"/>
    <w:rsid w:val="006B0733"/>
    <w:rsid w:val="006B0ACD"/>
    <w:rsid w:val="006B2A92"/>
    <w:rsid w:val="006B304C"/>
    <w:rsid w:val="006B3529"/>
    <w:rsid w:val="006B3812"/>
    <w:rsid w:val="006B3B23"/>
    <w:rsid w:val="006B3B9F"/>
    <w:rsid w:val="006B4347"/>
    <w:rsid w:val="006B49A3"/>
    <w:rsid w:val="006B6758"/>
    <w:rsid w:val="006B6CDD"/>
    <w:rsid w:val="006B713C"/>
    <w:rsid w:val="006B760D"/>
    <w:rsid w:val="006B7AD3"/>
    <w:rsid w:val="006C04CF"/>
    <w:rsid w:val="006C086B"/>
    <w:rsid w:val="006C0E9A"/>
    <w:rsid w:val="006C0FD6"/>
    <w:rsid w:val="006C13EC"/>
    <w:rsid w:val="006C18BD"/>
    <w:rsid w:val="006C1E91"/>
    <w:rsid w:val="006C2327"/>
    <w:rsid w:val="006C3568"/>
    <w:rsid w:val="006C3AD9"/>
    <w:rsid w:val="006C4431"/>
    <w:rsid w:val="006C4764"/>
    <w:rsid w:val="006C6EE6"/>
    <w:rsid w:val="006C70DC"/>
    <w:rsid w:val="006D074C"/>
    <w:rsid w:val="006D0A38"/>
    <w:rsid w:val="006D12CB"/>
    <w:rsid w:val="006D16C6"/>
    <w:rsid w:val="006D1736"/>
    <w:rsid w:val="006D1CD0"/>
    <w:rsid w:val="006D2EC2"/>
    <w:rsid w:val="006D3F07"/>
    <w:rsid w:val="006D4327"/>
    <w:rsid w:val="006D47A5"/>
    <w:rsid w:val="006D4DBF"/>
    <w:rsid w:val="006D56BF"/>
    <w:rsid w:val="006D648F"/>
    <w:rsid w:val="006D6518"/>
    <w:rsid w:val="006D685B"/>
    <w:rsid w:val="006D70F1"/>
    <w:rsid w:val="006D78C3"/>
    <w:rsid w:val="006D7AA3"/>
    <w:rsid w:val="006E0654"/>
    <w:rsid w:val="006E0F84"/>
    <w:rsid w:val="006E1042"/>
    <w:rsid w:val="006E1744"/>
    <w:rsid w:val="006E1F2B"/>
    <w:rsid w:val="006E2407"/>
    <w:rsid w:val="006E2640"/>
    <w:rsid w:val="006E2D2D"/>
    <w:rsid w:val="006E3440"/>
    <w:rsid w:val="006E38A0"/>
    <w:rsid w:val="006E5431"/>
    <w:rsid w:val="006E67FF"/>
    <w:rsid w:val="006E7ACB"/>
    <w:rsid w:val="006F06BA"/>
    <w:rsid w:val="006F2327"/>
    <w:rsid w:val="006F2986"/>
    <w:rsid w:val="006F3899"/>
    <w:rsid w:val="006F3D72"/>
    <w:rsid w:val="006F410B"/>
    <w:rsid w:val="006F55D4"/>
    <w:rsid w:val="006F5A3F"/>
    <w:rsid w:val="006F5BF5"/>
    <w:rsid w:val="006F6622"/>
    <w:rsid w:val="006F687C"/>
    <w:rsid w:val="006F6A62"/>
    <w:rsid w:val="00702C6B"/>
    <w:rsid w:val="00702F5B"/>
    <w:rsid w:val="00703675"/>
    <w:rsid w:val="00704113"/>
    <w:rsid w:val="00704A40"/>
    <w:rsid w:val="00704F27"/>
    <w:rsid w:val="007051D8"/>
    <w:rsid w:val="00705961"/>
    <w:rsid w:val="00705E97"/>
    <w:rsid w:val="007060FC"/>
    <w:rsid w:val="007066E9"/>
    <w:rsid w:val="00706EAE"/>
    <w:rsid w:val="00707575"/>
    <w:rsid w:val="00707A5D"/>
    <w:rsid w:val="00707CFD"/>
    <w:rsid w:val="007101BA"/>
    <w:rsid w:val="00710587"/>
    <w:rsid w:val="0071089E"/>
    <w:rsid w:val="00710E75"/>
    <w:rsid w:val="0071193F"/>
    <w:rsid w:val="007119A8"/>
    <w:rsid w:val="00711E59"/>
    <w:rsid w:val="00711EE6"/>
    <w:rsid w:val="007123F9"/>
    <w:rsid w:val="00712FDB"/>
    <w:rsid w:val="00713295"/>
    <w:rsid w:val="007139BF"/>
    <w:rsid w:val="00713EDD"/>
    <w:rsid w:val="0071437C"/>
    <w:rsid w:val="00714441"/>
    <w:rsid w:val="007154F7"/>
    <w:rsid w:val="0071564D"/>
    <w:rsid w:val="00716765"/>
    <w:rsid w:val="007168FA"/>
    <w:rsid w:val="00717914"/>
    <w:rsid w:val="00721797"/>
    <w:rsid w:val="00722C8F"/>
    <w:rsid w:val="00723268"/>
    <w:rsid w:val="00723477"/>
    <w:rsid w:val="007236DE"/>
    <w:rsid w:val="0072486D"/>
    <w:rsid w:val="00724AD8"/>
    <w:rsid w:val="00724E85"/>
    <w:rsid w:val="0072564C"/>
    <w:rsid w:val="00726A25"/>
    <w:rsid w:val="00726A8C"/>
    <w:rsid w:val="00726BDA"/>
    <w:rsid w:val="007275E2"/>
    <w:rsid w:val="00727767"/>
    <w:rsid w:val="00727CF2"/>
    <w:rsid w:val="007300B7"/>
    <w:rsid w:val="00730405"/>
    <w:rsid w:val="00731A5D"/>
    <w:rsid w:val="00731B7F"/>
    <w:rsid w:val="00732306"/>
    <w:rsid w:val="0073310B"/>
    <w:rsid w:val="00733F40"/>
    <w:rsid w:val="00734789"/>
    <w:rsid w:val="00734A60"/>
    <w:rsid w:val="00734C11"/>
    <w:rsid w:val="00734D16"/>
    <w:rsid w:val="00735913"/>
    <w:rsid w:val="007362CF"/>
    <w:rsid w:val="00736603"/>
    <w:rsid w:val="00736A72"/>
    <w:rsid w:val="00736EC7"/>
    <w:rsid w:val="00737EDD"/>
    <w:rsid w:val="00740A0D"/>
    <w:rsid w:val="00740F34"/>
    <w:rsid w:val="00741919"/>
    <w:rsid w:val="00741C9F"/>
    <w:rsid w:val="007431FB"/>
    <w:rsid w:val="007434ED"/>
    <w:rsid w:val="007440C4"/>
    <w:rsid w:val="00744D6E"/>
    <w:rsid w:val="00744F05"/>
    <w:rsid w:val="00745356"/>
    <w:rsid w:val="00745D77"/>
    <w:rsid w:val="00746639"/>
    <w:rsid w:val="00747D2A"/>
    <w:rsid w:val="0075038E"/>
    <w:rsid w:val="007507B1"/>
    <w:rsid w:val="0075112F"/>
    <w:rsid w:val="007526C9"/>
    <w:rsid w:val="00753407"/>
    <w:rsid w:val="00753767"/>
    <w:rsid w:val="007537FE"/>
    <w:rsid w:val="00753991"/>
    <w:rsid w:val="00753E8B"/>
    <w:rsid w:val="0075493B"/>
    <w:rsid w:val="00754F38"/>
    <w:rsid w:val="00755204"/>
    <w:rsid w:val="00755543"/>
    <w:rsid w:val="00755B2C"/>
    <w:rsid w:val="00755FC6"/>
    <w:rsid w:val="00757651"/>
    <w:rsid w:val="00757813"/>
    <w:rsid w:val="0076078F"/>
    <w:rsid w:val="00760AFD"/>
    <w:rsid w:val="00760D35"/>
    <w:rsid w:val="00761AA1"/>
    <w:rsid w:val="00761B63"/>
    <w:rsid w:val="00761DF5"/>
    <w:rsid w:val="00762037"/>
    <w:rsid w:val="007621CE"/>
    <w:rsid w:val="00763B26"/>
    <w:rsid w:val="007640A5"/>
    <w:rsid w:val="007646B7"/>
    <w:rsid w:val="007651DD"/>
    <w:rsid w:val="007656DD"/>
    <w:rsid w:val="00765F82"/>
    <w:rsid w:val="0076652E"/>
    <w:rsid w:val="0076667D"/>
    <w:rsid w:val="00766A94"/>
    <w:rsid w:val="00766ADD"/>
    <w:rsid w:val="00766E72"/>
    <w:rsid w:val="00767245"/>
    <w:rsid w:val="007705B0"/>
    <w:rsid w:val="00772708"/>
    <w:rsid w:val="00773407"/>
    <w:rsid w:val="007735A1"/>
    <w:rsid w:val="00773EA0"/>
    <w:rsid w:val="00774250"/>
    <w:rsid w:val="00774A03"/>
    <w:rsid w:val="00774AD4"/>
    <w:rsid w:val="00774B7D"/>
    <w:rsid w:val="00775272"/>
    <w:rsid w:val="00775A4A"/>
    <w:rsid w:val="007767E6"/>
    <w:rsid w:val="00776DAA"/>
    <w:rsid w:val="00776DD1"/>
    <w:rsid w:val="0077720D"/>
    <w:rsid w:val="00777474"/>
    <w:rsid w:val="007776A0"/>
    <w:rsid w:val="00777D32"/>
    <w:rsid w:val="00780624"/>
    <w:rsid w:val="007806C4"/>
    <w:rsid w:val="00780F21"/>
    <w:rsid w:val="00781E02"/>
    <w:rsid w:val="00781E04"/>
    <w:rsid w:val="00782673"/>
    <w:rsid w:val="00782A1B"/>
    <w:rsid w:val="00783DE0"/>
    <w:rsid w:val="00783F48"/>
    <w:rsid w:val="007841F2"/>
    <w:rsid w:val="00784FFE"/>
    <w:rsid w:val="00785309"/>
    <w:rsid w:val="00785BFC"/>
    <w:rsid w:val="00786A43"/>
    <w:rsid w:val="00787640"/>
    <w:rsid w:val="00790844"/>
    <w:rsid w:val="00790D91"/>
    <w:rsid w:val="00791213"/>
    <w:rsid w:val="00791A4E"/>
    <w:rsid w:val="00791E08"/>
    <w:rsid w:val="00792540"/>
    <w:rsid w:val="00792FBA"/>
    <w:rsid w:val="00793483"/>
    <w:rsid w:val="00793C43"/>
    <w:rsid w:val="00794E55"/>
    <w:rsid w:val="00796023"/>
    <w:rsid w:val="0079648F"/>
    <w:rsid w:val="0079664D"/>
    <w:rsid w:val="00796AAB"/>
    <w:rsid w:val="007974C5"/>
    <w:rsid w:val="007A0506"/>
    <w:rsid w:val="007A072E"/>
    <w:rsid w:val="007A0D4C"/>
    <w:rsid w:val="007A1114"/>
    <w:rsid w:val="007A21E7"/>
    <w:rsid w:val="007A2D0A"/>
    <w:rsid w:val="007A2F28"/>
    <w:rsid w:val="007A3DCE"/>
    <w:rsid w:val="007A5397"/>
    <w:rsid w:val="007A5AD0"/>
    <w:rsid w:val="007A6BC4"/>
    <w:rsid w:val="007A72B6"/>
    <w:rsid w:val="007A733C"/>
    <w:rsid w:val="007A74CD"/>
    <w:rsid w:val="007A776D"/>
    <w:rsid w:val="007B0334"/>
    <w:rsid w:val="007B0DCC"/>
    <w:rsid w:val="007B0E87"/>
    <w:rsid w:val="007B22F0"/>
    <w:rsid w:val="007B26DA"/>
    <w:rsid w:val="007B2ED6"/>
    <w:rsid w:val="007B37B2"/>
    <w:rsid w:val="007B38C1"/>
    <w:rsid w:val="007B419C"/>
    <w:rsid w:val="007B5095"/>
    <w:rsid w:val="007B5581"/>
    <w:rsid w:val="007B621B"/>
    <w:rsid w:val="007B66E1"/>
    <w:rsid w:val="007B7F8C"/>
    <w:rsid w:val="007C05BF"/>
    <w:rsid w:val="007C0A3E"/>
    <w:rsid w:val="007C154B"/>
    <w:rsid w:val="007C1F55"/>
    <w:rsid w:val="007C25F2"/>
    <w:rsid w:val="007C3175"/>
    <w:rsid w:val="007C32C1"/>
    <w:rsid w:val="007C3937"/>
    <w:rsid w:val="007C3EFD"/>
    <w:rsid w:val="007C55B7"/>
    <w:rsid w:val="007C6265"/>
    <w:rsid w:val="007C7538"/>
    <w:rsid w:val="007C769E"/>
    <w:rsid w:val="007C76FA"/>
    <w:rsid w:val="007C7AC5"/>
    <w:rsid w:val="007C7E5A"/>
    <w:rsid w:val="007D0063"/>
    <w:rsid w:val="007D13CA"/>
    <w:rsid w:val="007D1A30"/>
    <w:rsid w:val="007D1C8A"/>
    <w:rsid w:val="007D26C5"/>
    <w:rsid w:val="007D3C8B"/>
    <w:rsid w:val="007D46AC"/>
    <w:rsid w:val="007D4C23"/>
    <w:rsid w:val="007D5063"/>
    <w:rsid w:val="007D557B"/>
    <w:rsid w:val="007D5677"/>
    <w:rsid w:val="007D5E61"/>
    <w:rsid w:val="007D638A"/>
    <w:rsid w:val="007E0E61"/>
    <w:rsid w:val="007E1D90"/>
    <w:rsid w:val="007E27EF"/>
    <w:rsid w:val="007E2988"/>
    <w:rsid w:val="007E2A8D"/>
    <w:rsid w:val="007E2D3D"/>
    <w:rsid w:val="007E415F"/>
    <w:rsid w:val="007E51AC"/>
    <w:rsid w:val="007E539E"/>
    <w:rsid w:val="007E5A0E"/>
    <w:rsid w:val="007E6832"/>
    <w:rsid w:val="007E6C5B"/>
    <w:rsid w:val="007E7330"/>
    <w:rsid w:val="007E7F80"/>
    <w:rsid w:val="007F1553"/>
    <w:rsid w:val="007F19C8"/>
    <w:rsid w:val="007F1FB7"/>
    <w:rsid w:val="007F3193"/>
    <w:rsid w:val="007F35D2"/>
    <w:rsid w:val="007F3AF0"/>
    <w:rsid w:val="007F3C5C"/>
    <w:rsid w:val="007F509D"/>
    <w:rsid w:val="007F541F"/>
    <w:rsid w:val="007F5708"/>
    <w:rsid w:val="007F5DD6"/>
    <w:rsid w:val="007F6061"/>
    <w:rsid w:val="007F622C"/>
    <w:rsid w:val="007F6FDD"/>
    <w:rsid w:val="007F7AF7"/>
    <w:rsid w:val="00800194"/>
    <w:rsid w:val="00800501"/>
    <w:rsid w:val="00800F63"/>
    <w:rsid w:val="00802AB2"/>
    <w:rsid w:val="00802AB9"/>
    <w:rsid w:val="00804429"/>
    <w:rsid w:val="008044FF"/>
    <w:rsid w:val="00804ACE"/>
    <w:rsid w:val="00804D66"/>
    <w:rsid w:val="00804EBD"/>
    <w:rsid w:val="00804F55"/>
    <w:rsid w:val="008062BD"/>
    <w:rsid w:val="00806BE6"/>
    <w:rsid w:val="008077F5"/>
    <w:rsid w:val="00807BA8"/>
    <w:rsid w:val="008102E3"/>
    <w:rsid w:val="008108B0"/>
    <w:rsid w:val="008136DE"/>
    <w:rsid w:val="008141E0"/>
    <w:rsid w:val="008147B8"/>
    <w:rsid w:val="00815393"/>
    <w:rsid w:val="0081571E"/>
    <w:rsid w:val="0081602D"/>
    <w:rsid w:val="00816946"/>
    <w:rsid w:val="00816CDA"/>
    <w:rsid w:val="00817042"/>
    <w:rsid w:val="008173E1"/>
    <w:rsid w:val="0082028E"/>
    <w:rsid w:val="00821622"/>
    <w:rsid w:val="008219A6"/>
    <w:rsid w:val="00821B25"/>
    <w:rsid w:val="0082211D"/>
    <w:rsid w:val="008223F7"/>
    <w:rsid w:val="00822DCA"/>
    <w:rsid w:val="008233D8"/>
    <w:rsid w:val="00823771"/>
    <w:rsid w:val="0082390E"/>
    <w:rsid w:val="00823FB7"/>
    <w:rsid w:val="00823FD8"/>
    <w:rsid w:val="00823FE6"/>
    <w:rsid w:val="00825C47"/>
    <w:rsid w:val="0082627D"/>
    <w:rsid w:val="00827016"/>
    <w:rsid w:val="00827CA2"/>
    <w:rsid w:val="00827D68"/>
    <w:rsid w:val="0083014B"/>
    <w:rsid w:val="008317F7"/>
    <w:rsid w:val="00831A27"/>
    <w:rsid w:val="008320F7"/>
    <w:rsid w:val="0083363D"/>
    <w:rsid w:val="00833A30"/>
    <w:rsid w:val="00833EC6"/>
    <w:rsid w:val="0083425F"/>
    <w:rsid w:val="00834402"/>
    <w:rsid w:val="00834881"/>
    <w:rsid w:val="0083656C"/>
    <w:rsid w:val="00836AC0"/>
    <w:rsid w:val="00836D3D"/>
    <w:rsid w:val="0083774D"/>
    <w:rsid w:val="00841108"/>
    <w:rsid w:val="00842237"/>
    <w:rsid w:val="008422FE"/>
    <w:rsid w:val="00842425"/>
    <w:rsid w:val="00842548"/>
    <w:rsid w:val="00842D9D"/>
    <w:rsid w:val="00842E13"/>
    <w:rsid w:val="0084341B"/>
    <w:rsid w:val="00843AAE"/>
    <w:rsid w:val="00845BD8"/>
    <w:rsid w:val="00845EFD"/>
    <w:rsid w:val="00846787"/>
    <w:rsid w:val="00846C7C"/>
    <w:rsid w:val="00846FD1"/>
    <w:rsid w:val="008471E2"/>
    <w:rsid w:val="00847E86"/>
    <w:rsid w:val="0085109D"/>
    <w:rsid w:val="008517AC"/>
    <w:rsid w:val="00851D5E"/>
    <w:rsid w:val="00852782"/>
    <w:rsid w:val="00852900"/>
    <w:rsid w:val="00854123"/>
    <w:rsid w:val="008545CA"/>
    <w:rsid w:val="008547E6"/>
    <w:rsid w:val="00854F4C"/>
    <w:rsid w:val="00854FB3"/>
    <w:rsid w:val="0085596A"/>
    <w:rsid w:val="00857EE6"/>
    <w:rsid w:val="008600C5"/>
    <w:rsid w:val="00861426"/>
    <w:rsid w:val="008615E0"/>
    <w:rsid w:val="00862A35"/>
    <w:rsid w:val="00862C7A"/>
    <w:rsid w:val="00863F34"/>
    <w:rsid w:val="0086406B"/>
    <w:rsid w:val="00864603"/>
    <w:rsid w:val="00865A88"/>
    <w:rsid w:val="008665A7"/>
    <w:rsid w:val="00866BDD"/>
    <w:rsid w:val="00866DFC"/>
    <w:rsid w:val="0086709E"/>
    <w:rsid w:val="00867142"/>
    <w:rsid w:val="00867711"/>
    <w:rsid w:val="00870A76"/>
    <w:rsid w:val="00870ACF"/>
    <w:rsid w:val="00871597"/>
    <w:rsid w:val="00871B5E"/>
    <w:rsid w:val="00872355"/>
    <w:rsid w:val="008726CD"/>
    <w:rsid w:val="008729FF"/>
    <w:rsid w:val="00872B41"/>
    <w:rsid w:val="008743F0"/>
    <w:rsid w:val="008750EE"/>
    <w:rsid w:val="0087570F"/>
    <w:rsid w:val="00876346"/>
    <w:rsid w:val="00876FBD"/>
    <w:rsid w:val="00877A39"/>
    <w:rsid w:val="00881637"/>
    <w:rsid w:val="0088188C"/>
    <w:rsid w:val="008822F3"/>
    <w:rsid w:val="00882440"/>
    <w:rsid w:val="00882AA2"/>
    <w:rsid w:val="00882F78"/>
    <w:rsid w:val="00883661"/>
    <w:rsid w:val="008845AA"/>
    <w:rsid w:val="008845E6"/>
    <w:rsid w:val="00884821"/>
    <w:rsid w:val="00885607"/>
    <w:rsid w:val="008858C6"/>
    <w:rsid w:val="00885B6A"/>
    <w:rsid w:val="00887DFB"/>
    <w:rsid w:val="00887ED2"/>
    <w:rsid w:val="0089008F"/>
    <w:rsid w:val="0089035F"/>
    <w:rsid w:val="00891B35"/>
    <w:rsid w:val="0089248D"/>
    <w:rsid w:val="00892D41"/>
    <w:rsid w:val="008943CB"/>
    <w:rsid w:val="00894F12"/>
    <w:rsid w:val="00894F93"/>
    <w:rsid w:val="00894FBC"/>
    <w:rsid w:val="008950E0"/>
    <w:rsid w:val="00895D20"/>
    <w:rsid w:val="00896246"/>
    <w:rsid w:val="008964CE"/>
    <w:rsid w:val="00896A1B"/>
    <w:rsid w:val="00897783"/>
    <w:rsid w:val="00897C4A"/>
    <w:rsid w:val="008A0214"/>
    <w:rsid w:val="008A109E"/>
    <w:rsid w:val="008A1268"/>
    <w:rsid w:val="008A14C7"/>
    <w:rsid w:val="008A16A2"/>
    <w:rsid w:val="008A25A9"/>
    <w:rsid w:val="008A2B31"/>
    <w:rsid w:val="008A41ED"/>
    <w:rsid w:val="008A51BD"/>
    <w:rsid w:val="008A59EB"/>
    <w:rsid w:val="008A5BB2"/>
    <w:rsid w:val="008A5E82"/>
    <w:rsid w:val="008A6117"/>
    <w:rsid w:val="008A6259"/>
    <w:rsid w:val="008A65A6"/>
    <w:rsid w:val="008A6D88"/>
    <w:rsid w:val="008A78CC"/>
    <w:rsid w:val="008B05BE"/>
    <w:rsid w:val="008B0F18"/>
    <w:rsid w:val="008B2A72"/>
    <w:rsid w:val="008B2C6F"/>
    <w:rsid w:val="008B352A"/>
    <w:rsid w:val="008B387D"/>
    <w:rsid w:val="008B39A3"/>
    <w:rsid w:val="008B3C25"/>
    <w:rsid w:val="008B446D"/>
    <w:rsid w:val="008B44B7"/>
    <w:rsid w:val="008B44D6"/>
    <w:rsid w:val="008B5776"/>
    <w:rsid w:val="008B5D04"/>
    <w:rsid w:val="008B5DB9"/>
    <w:rsid w:val="008B61A2"/>
    <w:rsid w:val="008B6C4E"/>
    <w:rsid w:val="008B73D1"/>
    <w:rsid w:val="008B7569"/>
    <w:rsid w:val="008B7667"/>
    <w:rsid w:val="008C0367"/>
    <w:rsid w:val="008C26D2"/>
    <w:rsid w:val="008C315E"/>
    <w:rsid w:val="008C3812"/>
    <w:rsid w:val="008C3B50"/>
    <w:rsid w:val="008C3D4D"/>
    <w:rsid w:val="008C6C62"/>
    <w:rsid w:val="008C6E7D"/>
    <w:rsid w:val="008C7100"/>
    <w:rsid w:val="008C7B0F"/>
    <w:rsid w:val="008C7DC7"/>
    <w:rsid w:val="008D079D"/>
    <w:rsid w:val="008D1964"/>
    <w:rsid w:val="008D1CCF"/>
    <w:rsid w:val="008D271D"/>
    <w:rsid w:val="008D3D48"/>
    <w:rsid w:val="008D4CE4"/>
    <w:rsid w:val="008D6056"/>
    <w:rsid w:val="008E008C"/>
    <w:rsid w:val="008E06D1"/>
    <w:rsid w:val="008E14F0"/>
    <w:rsid w:val="008E1F9E"/>
    <w:rsid w:val="008E2274"/>
    <w:rsid w:val="008E27CB"/>
    <w:rsid w:val="008E325A"/>
    <w:rsid w:val="008E3314"/>
    <w:rsid w:val="008E384F"/>
    <w:rsid w:val="008E4472"/>
    <w:rsid w:val="008E64C5"/>
    <w:rsid w:val="008E6C54"/>
    <w:rsid w:val="008E720D"/>
    <w:rsid w:val="008E72C3"/>
    <w:rsid w:val="008E7B6E"/>
    <w:rsid w:val="008F2923"/>
    <w:rsid w:val="008F3164"/>
    <w:rsid w:val="008F33CE"/>
    <w:rsid w:val="008F396B"/>
    <w:rsid w:val="008F567C"/>
    <w:rsid w:val="008F5EE2"/>
    <w:rsid w:val="008F6F53"/>
    <w:rsid w:val="008F732E"/>
    <w:rsid w:val="008F7673"/>
    <w:rsid w:val="0090061A"/>
    <w:rsid w:val="009007EE"/>
    <w:rsid w:val="00900A9D"/>
    <w:rsid w:val="0090142E"/>
    <w:rsid w:val="009014C5"/>
    <w:rsid w:val="00903261"/>
    <w:rsid w:val="009040B8"/>
    <w:rsid w:val="0090634E"/>
    <w:rsid w:val="009064A1"/>
    <w:rsid w:val="00906B41"/>
    <w:rsid w:val="00906BF3"/>
    <w:rsid w:val="0091137B"/>
    <w:rsid w:val="00911A63"/>
    <w:rsid w:val="00912FD6"/>
    <w:rsid w:val="00914AF6"/>
    <w:rsid w:val="0091633D"/>
    <w:rsid w:val="00916B31"/>
    <w:rsid w:val="00916F8E"/>
    <w:rsid w:val="0091722D"/>
    <w:rsid w:val="00920565"/>
    <w:rsid w:val="00920CCA"/>
    <w:rsid w:val="00921109"/>
    <w:rsid w:val="009212CE"/>
    <w:rsid w:val="009218D1"/>
    <w:rsid w:val="00921E85"/>
    <w:rsid w:val="0092218A"/>
    <w:rsid w:val="00922F52"/>
    <w:rsid w:val="00923945"/>
    <w:rsid w:val="00923AF5"/>
    <w:rsid w:val="00924CC8"/>
    <w:rsid w:val="00925091"/>
    <w:rsid w:val="00926BAC"/>
    <w:rsid w:val="00926DC4"/>
    <w:rsid w:val="00927175"/>
    <w:rsid w:val="00927616"/>
    <w:rsid w:val="00927F1E"/>
    <w:rsid w:val="00930736"/>
    <w:rsid w:val="00930F67"/>
    <w:rsid w:val="009327FF"/>
    <w:rsid w:val="0093307D"/>
    <w:rsid w:val="00934787"/>
    <w:rsid w:val="00934B6F"/>
    <w:rsid w:val="009368F7"/>
    <w:rsid w:val="00937884"/>
    <w:rsid w:val="00937915"/>
    <w:rsid w:val="00937E72"/>
    <w:rsid w:val="00937F83"/>
    <w:rsid w:val="00940A42"/>
    <w:rsid w:val="00940B9E"/>
    <w:rsid w:val="00940C85"/>
    <w:rsid w:val="00940CDC"/>
    <w:rsid w:val="00941701"/>
    <w:rsid w:val="009425BC"/>
    <w:rsid w:val="00942EEE"/>
    <w:rsid w:val="00943FE7"/>
    <w:rsid w:val="00944668"/>
    <w:rsid w:val="009449AE"/>
    <w:rsid w:val="00944EE1"/>
    <w:rsid w:val="00945099"/>
    <w:rsid w:val="009451D8"/>
    <w:rsid w:val="009466D3"/>
    <w:rsid w:val="00947DF4"/>
    <w:rsid w:val="009506FF"/>
    <w:rsid w:val="00951071"/>
    <w:rsid w:val="0095141C"/>
    <w:rsid w:val="00951C84"/>
    <w:rsid w:val="00951D48"/>
    <w:rsid w:val="009521DE"/>
    <w:rsid w:val="00953329"/>
    <w:rsid w:val="009539D7"/>
    <w:rsid w:val="00953CC2"/>
    <w:rsid w:val="00953FC5"/>
    <w:rsid w:val="009557A4"/>
    <w:rsid w:val="00955A79"/>
    <w:rsid w:val="00955CE0"/>
    <w:rsid w:val="00957E14"/>
    <w:rsid w:val="009615BE"/>
    <w:rsid w:val="00963077"/>
    <w:rsid w:val="00965449"/>
    <w:rsid w:val="00965629"/>
    <w:rsid w:val="0096608F"/>
    <w:rsid w:val="00966A65"/>
    <w:rsid w:val="00967D1A"/>
    <w:rsid w:val="00970D45"/>
    <w:rsid w:val="009721FA"/>
    <w:rsid w:val="00974FB3"/>
    <w:rsid w:val="009760F9"/>
    <w:rsid w:val="00980232"/>
    <w:rsid w:val="009818C3"/>
    <w:rsid w:val="009825D6"/>
    <w:rsid w:val="00984BFC"/>
    <w:rsid w:val="009852E8"/>
    <w:rsid w:val="00987E84"/>
    <w:rsid w:val="00990EB4"/>
    <w:rsid w:val="00990F1A"/>
    <w:rsid w:val="009910E9"/>
    <w:rsid w:val="00992F1E"/>
    <w:rsid w:val="00993607"/>
    <w:rsid w:val="00993951"/>
    <w:rsid w:val="00993C13"/>
    <w:rsid w:val="009958E9"/>
    <w:rsid w:val="00995E58"/>
    <w:rsid w:val="00996B3F"/>
    <w:rsid w:val="00996E97"/>
    <w:rsid w:val="009A0838"/>
    <w:rsid w:val="009A09D0"/>
    <w:rsid w:val="009A137F"/>
    <w:rsid w:val="009A180B"/>
    <w:rsid w:val="009A1FE7"/>
    <w:rsid w:val="009A2630"/>
    <w:rsid w:val="009A2849"/>
    <w:rsid w:val="009A31C5"/>
    <w:rsid w:val="009A4DB6"/>
    <w:rsid w:val="009A5666"/>
    <w:rsid w:val="009A56A9"/>
    <w:rsid w:val="009A62AF"/>
    <w:rsid w:val="009A66BB"/>
    <w:rsid w:val="009A6E8E"/>
    <w:rsid w:val="009A6E90"/>
    <w:rsid w:val="009A72AC"/>
    <w:rsid w:val="009A7365"/>
    <w:rsid w:val="009B0B20"/>
    <w:rsid w:val="009B124B"/>
    <w:rsid w:val="009B136B"/>
    <w:rsid w:val="009B14B9"/>
    <w:rsid w:val="009B1F88"/>
    <w:rsid w:val="009B1FFE"/>
    <w:rsid w:val="009B3F1A"/>
    <w:rsid w:val="009B4560"/>
    <w:rsid w:val="009B4E16"/>
    <w:rsid w:val="009B4ED0"/>
    <w:rsid w:val="009B5436"/>
    <w:rsid w:val="009B5576"/>
    <w:rsid w:val="009B7149"/>
    <w:rsid w:val="009B7815"/>
    <w:rsid w:val="009C11B8"/>
    <w:rsid w:val="009C17BC"/>
    <w:rsid w:val="009C188A"/>
    <w:rsid w:val="009C2467"/>
    <w:rsid w:val="009C3896"/>
    <w:rsid w:val="009C4117"/>
    <w:rsid w:val="009C4180"/>
    <w:rsid w:val="009C41E0"/>
    <w:rsid w:val="009C45C0"/>
    <w:rsid w:val="009C5242"/>
    <w:rsid w:val="009C554D"/>
    <w:rsid w:val="009C5AD4"/>
    <w:rsid w:val="009C5B57"/>
    <w:rsid w:val="009C5DF1"/>
    <w:rsid w:val="009C669E"/>
    <w:rsid w:val="009C6C11"/>
    <w:rsid w:val="009C6C2F"/>
    <w:rsid w:val="009D0E0A"/>
    <w:rsid w:val="009D191B"/>
    <w:rsid w:val="009D331B"/>
    <w:rsid w:val="009D364B"/>
    <w:rsid w:val="009D3667"/>
    <w:rsid w:val="009D4501"/>
    <w:rsid w:val="009D45A5"/>
    <w:rsid w:val="009D52A0"/>
    <w:rsid w:val="009D58C8"/>
    <w:rsid w:val="009D6E4E"/>
    <w:rsid w:val="009D6FEE"/>
    <w:rsid w:val="009D70A6"/>
    <w:rsid w:val="009D72CA"/>
    <w:rsid w:val="009D771D"/>
    <w:rsid w:val="009D78E8"/>
    <w:rsid w:val="009E0F60"/>
    <w:rsid w:val="009E1C85"/>
    <w:rsid w:val="009E207B"/>
    <w:rsid w:val="009E2C70"/>
    <w:rsid w:val="009E2FE1"/>
    <w:rsid w:val="009E47FF"/>
    <w:rsid w:val="009E49D4"/>
    <w:rsid w:val="009E54D7"/>
    <w:rsid w:val="009E5B26"/>
    <w:rsid w:val="009E5BFD"/>
    <w:rsid w:val="009E5EE8"/>
    <w:rsid w:val="009E7C84"/>
    <w:rsid w:val="009E7DE5"/>
    <w:rsid w:val="009F01B2"/>
    <w:rsid w:val="009F0808"/>
    <w:rsid w:val="009F08ED"/>
    <w:rsid w:val="009F139E"/>
    <w:rsid w:val="009F211B"/>
    <w:rsid w:val="009F2860"/>
    <w:rsid w:val="009F3D26"/>
    <w:rsid w:val="009F4EB2"/>
    <w:rsid w:val="009F6392"/>
    <w:rsid w:val="009F6AF0"/>
    <w:rsid w:val="009F6C96"/>
    <w:rsid w:val="009F75AD"/>
    <w:rsid w:val="009F7AC4"/>
    <w:rsid w:val="00A00241"/>
    <w:rsid w:val="00A003AC"/>
    <w:rsid w:val="00A0083F"/>
    <w:rsid w:val="00A01437"/>
    <w:rsid w:val="00A0170D"/>
    <w:rsid w:val="00A01719"/>
    <w:rsid w:val="00A0192E"/>
    <w:rsid w:val="00A01D17"/>
    <w:rsid w:val="00A020A5"/>
    <w:rsid w:val="00A02344"/>
    <w:rsid w:val="00A04928"/>
    <w:rsid w:val="00A052DF"/>
    <w:rsid w:val="00A05584"/>
    <w:rsid w:val="00A059A8"/>
    <w:rsid w:val="00A05B04"/>
    <w:rsid w:val="00A06FE6"/>
    <w:rsid w:val="00A07497"/>
    <w:rsid w:val="00A07A9E"/>
    <w:rsid w:val="00A10257"/>
    <w:rsid w:val="00A11BED"/>
    <w:rsid w:val="00A12A1C"/>
    <w:rsid w:val="00A12DCD"/>
    <w:rsid w:val="00A1486A"/>
    <w:rsid w:val="00A14D23"/>
    <w:rsid w:val="00A14F3A"/>
    <w:rsid w:val="00A15314"/>
    <w:rsid w:val="00A15B01"/>
    <w:rsid w:val="00A161AF"/>
    <w:rsid w:val="00A17F02"/>
    <w:rsid w:val="00A229BD"/>
    <w:rsid w:val="00A23205"/>
    <w:rsid w:val="00A236E0"/>
    <w:rsid w:val="00A23862"/>
    <w:rsid w:val="00A269F4"/>
    <w:rsid w:val="00A26D06"/>
    <w:rsid w:val="00A274F1"/>
    <w:rsid w:val="00A27699"/>
    <w:rsid w:val="00A27796"/>
    <w:rsid w:val="00A278EC"/>
    <w:rsid w:val="00A27E79"/>
    <w:rsid w:val="00A30BC5"/>
    <w:rsid w:val="00A31DA1"/>
    <w:rsid w:val="00A32905"/>
    <w:rsid w:val="00A32D58"/>
    <w:rsid w:val="00A33B94"/>
    <w:rsid w:val="00A36F25"/>
    <w:rsid w:val="00A370F8"/>
    <w:rsid w:val="00A378EB"/>
    <w:rsid w:val="00A4190F"/>
    <w:rsid w:val="00A42BE2"/>
    <w:rsid w:val="00A43397"/>
    <w:rsid w:val="00A4395C"/>
    <w:rsid w:val="00A441A0"/>
    <w:rsid w:val="00A443DF"/>
    <w:rsid w:val="00A44441"/>
    <w:rsid w:val="00A44A5B"/>
    <w:rsid w:val="00A44A76"/>
    <w:rsid w:val="00A46BBC"/>
    <w:rsid w:val="00A50648"/>
    <w:rsid w:val="00A5100A"/>
    <w:rsid w:val="00A515C4"/>
    <w:rsid w:val="00A51A5A"/>
    <w:rsid w:val="00A5356C"/>
    <w:rsid w:val="00A53609"/>
    <w:rsid w:val="00A53923"/>
    <w:rsid w:val="00A556C8"/>
    <w:rsid w:val="00A5680F"/>
    <w:rsid w:val="00A57F8C"/>
    <w:rsid w:val="00A60670"/>
    <w:rsid w:val="00A612D2"/>
    <w:rsid w:val="00A61776"/>
    <w:rsid w:val="00A618EC"/>
    <w:rsid w:val="00A62139"/>
    <w:rsid w:val="00A62194"/>
    <w:rsid w:val="00A6252C"/>
    <w:rsid w:val="00A62551"/>
    <w:rsid w:val="00A6358B"/>
    <w:rsid w:val="00A63863"/>
    <w:rsid w:val="00A6402A"/>
    <w:rsid w:val="00A649C7"/>
    <w:rsid w:val="00A6513C"/>
    <w:rsid w:val="00A662B7"/>
    <w:rsid w:val="00A66A52"/>
    <w:rsid w:val="00A66ADB"/>
    <w:rsid w:val="00A7022E"/>
    <w:rsid w:val="00A7047B"/>
    <w:rsid w:val="00A707ED"/>
    <w:rsid w:val="00A70BC9"/>
    <w:rsid w:val="00A72C25"/>
    <w:rsid w:val="00A72E6A"/>
    <w:rsid w:val="00A73ABE"/>
    <w:rsid w:val="00A73D45"/>
    <w:rsid w:val="00A741E1"/>
    <w:rsid w:val="00A748BC"/>
    <w:rsid w:val="00A753FD"/>
    <w:rsid w:val="00A755DA"/>
    <w:rsid w:val="00A76A89"/>
    <w:rsid w:val="00A76E36"/>
    <w:rsid w:val="00A77351"/>
    <w:rsid w:val="00A7749D"/>
    <w:rsid w:val="00A77565"/>
    <w:rsid w:val="00A77791"/>
    <w:rsid w:val="00A8001B"/>
    <w:rsid w:val="00A801CD"/>
    <w:rsid w:val="00A80652"/>
    <w:rsid w:val="00A80C67"/>
    <w:rsid w:val="00A8102E"/>
    <w:rsid w:val="00A8137A"/>
    <w:rsid w:val="00A81764"/>
    <w:rsid w:val="00A821AF"/>
    <w:rsid w:val="00A822C9"/>
    <w:rsid w:val="00A824FF"/>
    <w:rsid w:val="00A82DA1"/>
    <w:rsid w:val="00A8349F"/>
    <w:rsid w:val="00A83816"/>
    <w:rsid w:val="00A83A71"/>
    <w:rsid w:val="00A83C7B"/>
    <w:rsid w:val="00A84FD9"/>
    <w:rsid w:val="00A856CA"/>
    <w:rsid w:val="00A8730D"/>
    <w:rsid w:val="00A8764D"/>
    <w:rsid w:val="00A877FB"/>
    <w:rsid w:val="00A8791C"/>
    <w:rsid w:val="00A87DA5"/>
    <w:rsid w:val="00A87F8B"/>
    <w:rsid w:val="00A9020C"/>
    <w:rsid w:val="00A9042B"/>
    <w:rsid w:val="00A91E15"/>
    <w:rsid w:val="00A92D7F"/>
    <w:rsid w:val="00A92DFE"/>
    <w:rsid w:val="00A92F64"/>
    <w:rsid w:val="00A93181"/>
    <w:rsid w:val="00A93839"/>
    <w:rsid w:val="00A93893"/>
    <w:rsid w:val="00A941BE"/>
    <w:rsid w:val="00A9451D"/>
    <w:rsid w:val="00A94E4A"/>
    <w:rsid w:val="00A95BE5"/>
    <w:rsid w:val="00A963A9"/>
    <w:rsid w:val="00A96518"/>
    <w:rsid w:val="00A96557"/>
    <w:rsid w:val="00A977FE"/>
    <w:rsid w:val="00A97F82"/>
    <w:rsid w:val="00AA02A3"/>
    <w:rsid w:val="00AA0446"/>
    <w:rsid w:val="00AA15DA"/>
    <w:rsid w:val="00AA28F4"/>
    <w:rsid w:val="00AA3042"/>
    <w:rsid w:val="00AA3B4D"/>
    <w:rsid w:val="00AA4017"/>
    <w:rsid w:val="00AA46A4"/>
    <w:rsid w:val="00AA528E"/>
    <w:rsid w:val="00AA549A"/>
    <w:rsid w:val="00AA5D10"/>
    <w:rsid w:val="00AA5F01"/>
    <w:rsid w:val="00AA605C"/>
    <w:rsid w:val="00AA6F1F"/>
    <w:rsid w:val="00AA738D"/>
    <w:rsid w:val="00AA73B5"/>
    <w:rsid w:val="00AA7C36"/>
    <w:rsid w:val="00AA7CF1"/>
    <w:rsid w:val="00AB0484"/>
    <w:rsid w:val="00AB07EB"/>
    <w:rsid w:val="00AB12F5"/>
    <w:rsid w:val="00AB2295"/>
    <w:rsid w:val="00AB3F39"/>
    <w:rsid w:val="00AB4E24"/>
    <w:rsid w:val="00AB5737"/>
    <w:rsid w:val="00AB6F83"/>
    <w:rsid w:val="00AB7F59"/>
    <w:rsid w:val="00AC00B5"/>
    <w:rsid w:val="00AC0DE6"/>
    <w:rsid w:val="00AC118F"/>
    <w:rsid w:val="00AC19C4"/>
    <w:rsid w:val="00AC2528"/>
    <w:rsid w:val="00AC2529"/>
    <w:rsid w:val="00AC39C2"/>
    <w:rsid w:val="00AC684A"/>
    <w:rsid w:val="00AD0104"/>
    <w:rsid w:val="00AD03ED"/>
    <w:rsid w:val="00AD08D0"/>
    <w:rsid w:val="00AD0A3C"/>
    <w:rsid w:val="00AD17EF"/>
    <w:rsid w:val="00AD1D4B"/>
    <w:rsid w:val="00AD20CF"/>
    <w:rsid w:val="00AD2528"/>
    <w:rsid w:val="00AD2599"/>
    <w:rsid w:val="00AD2687"/>
    <w:rsid w:val="00AD29CE"/>
    <w:rsid w:val="00AD4057"/>
    <w:rsid w:val="00AD40DB"/>
    <w:rsid w:val="00AD49BC"/>
    <w:rsid w:val="00AD6401"/>
    <w:rsid w:val="00AD6719"/>
    <w:rsid w:val="00AD7042"/>
    <w:rsid w:val="00AD7710"/>
    <w:rsid w:val="00AD78CC"/>
    <w:rsid w:val="00AD7A43"/>
    <w:rsid w:val="00AE0258"/>
    <w:rsid w:val="00AE0883"/>
    <w:rsid w:val="00AE0938"/>
    <w:rsid w:val="00AE0F0E"/>
    <w:rsid w:val="00AE18F0"/>
    <w:rsid w:val="00AE2188"/>
    <w:rsid w:val="00AE2523"/>
    <w:rsid w:val="00AE2B46"/>
    <w:rsid w:val="00AE3789"/>
    <w:rsid w:val="00AE3DD7"/>
    <w:rsid w:val="00AE41DA"/>
    <w:rsid w:val="00AE4520"/>
    <w:rsid w:val="00AE48FF"/>
    <w:rsid w:val="00AE4C9C"/>
    <w:rsid w:val="00AE5978"/>
    <w:rsid w:val="00AE65C0"/>
    <w:rsid w:val="00AE6DE8"/>
    <w:rsid w:val="00AE7713"/>
    <w:rsid w:val="00AE7E38"/>
    <w:rsid w:val="00AF002F"/>
    <w:rsid w:val="00AF01C6"/>
    <w:rsid w:val="00AF0458"/>
    <w:rsid w:val="00AF10F5"/>
    <w:rsid w:val="00AF1EFC"/>
    <w:rsid w:val="00AF2543"/>
    <w:rsid w:val="00AF2CD6"/>
    <w:rsid w:val="00AF2ED5"/>
    <w:rsid w:val="00AF3827"/>
    <w:rsid w:val="00AF3FCC"/>
    <w:rsid w:val="00AF4B1E"/>
    <w:rsid w:val="00AF4D79"/>
    <w:rsid w:val="00AF5108"/>
    <w:rsid w:val="00AF5216"/>
    <w:rsid w:val="00AF7206"/>
    <w:rsid w:val="00AF75C5"/>
    <w:rsid w:val="00B00007"/>
    <w:rsid w:val="00B0049F"/>
    <w:rsid w:val="00B0141B"/>
    <w:rsid w:val="00B014A0"/>
    <w:rsid w:val="00B01C0D"/>
    <w:rsid w:val="00B0225C"/>
    <w:rsid w:val="00B02652"/>
    <w:rsid w:val="00B030E4"/>
    <w:rsid w:val="00B03C8E"/>
    <w:rsid w:val="00B04209"/>
    <w:rsid w:val="00B05D38"/>
    <w:rsid w:val="00B06A4C"/>
    <w:rsid w:val="00B104EE"/>
    <w:rsid w:val="00B10FDE"/>
    <w:rsid w:val="00B11334"/>
    <w:rsid w:val="00B12382"/>
    <w:rsid w:val="00B1247C"/>
    <w:rsid w:val="00B13034"/>
    <w:rsid w:val="00B131EA"/>
    <w:rsid w:val="00B139C4"/>
    <w:rsid w:val="00B1569C"/>
    <w:rsid w:val="00B160A9"/>
    <w:rsid w:val="00B160B6"/>
    <w:rsid w:val="00B1658A"/>
    <w:rsid w:val="00B167C0"/>
    <w:rsid w:val="00B16D6D"/>
    <w:rsid w:val="00B207CF"/>
    <w:rsid w:val="00B215F2"/>
    <w:rsid w:val="00B2266C"/>
    <w:rsid w:val="00B22D35"/>
    <w:rsid w:val="00B247BF"/>
    <w:rsid w:val="00B250B8"/>
    <w:rsid w:val="00B25878"/>
    <w:rsid w:val="00B2616B"/>
    <w:rsid w:val="00B264E8"/>
    <w:rsid w:val="00B26759"/>
    <w:rsid w:val="00B26786"/>
    <w:rsid w:val="00B26C72"/>
    <w:rsid w:val="00B26D59"/>
    <w:rsid w:val="00B26E47"/>
    <w:rsid w:val="00B27D3B"/>
    <w:rsid w:val="00B303CC"/>
    <w:rsid w:val="00B30AC1"/>
    <w:rsid w:val="00B313B1"/>
    <w:rsid w:val="00B31673"/>
    <w:rsid w:val="00B32816"/>
    <w:rsid w:val="00B32DF1"/>
    <w:rsid w:val="00B32EE3"/>
    <w:rsid w:val="00B335E0"/>
    <w:rsid w:val="00B33DAF"/>
    <w:rsid w:val="00B34413"/>
    <w:rsid w:val="00B34501"/>
    <w:rsid w:val="00B345C5"/>
    <w:rsid w:val="00B34D2D"/>
    <w:rsid w:val="00B35108"/>
    <w:rsid w:val="00B35EE3"/>
    <w:rsid w:val="00B362DC"/>
    <w:rsid w:val="00B36D0F"/>
    <w:rsid w:val="00B36D5F"/>
    <w:rsid w:val="00B3712E"/>
    <w:rsid w:val="00B37942"/>
    <w:rsid w:val="00B403DD"/>
    <w:rsid w:val="00B404FF"/>
    <w:rsid w:val="00B40E97"/>
    <w:rsid w:val="00B40F06"/>
    <w:rsid w:val="00B4116D"/>
    <w:rsid w:val="00B41DE2"/>
    <w:rsid w:val="00B41F44"/>
    <w:rsid w:val="00B422AE"/>
    <w:rsid w:val="00B425C1"/>
    <w:rsid w:val="00B42932"/>
    <w:rsid w:val="00B42EFF"/>
    <w:rsid w:val="00B43528"/>
    <w:rsid w:val="00B43C42"/>
    <w:rsid w:val="00B43E18"/>
    <w:rsid w:val="00B44FC9"/>
    <w:rsid w:val="00B45A75"/>
    <w:rsid w:val="00B45B48"/>
    <w:rsid w:val="00B506D3"/>
    <w:rsid w:val="00B5117C"/>
    <w:rsid w:val="00B512DC"/>
    <w:rsid w:val="00B515F2"/>
    <w:rsid w:val="00B51D17"/>
    <w:rsid w:val="00B52577"/>
    <w:rsid w:val="00B52EF8"/>
    <w:rsid w:val="00B53472"/>
    <w:rsid w:val="00B5347E"/>
    <w:rsid w:val="00B53B0F"/>
    <w:rsid w:val="00B54181"/>
    <w:rsid w:val="00B5499A"/>
    <w:rsid w:val="00B54A2B"/>
    <w:rsid w:val="00B54B5B"/>
    <w:rsid w:val="00B5541E"/>
    <w:rsid w:val="00B5638A"/>
    <w:rsid w:val="00B56F6E"/>
    <w:rsid w:val="00B57B51"/>
    <w:rsid w:val="00B57F02"/>
    <w:rsid w:val="00B607E1"/>
    <w:rsid w:val="00B60887"/>
    <w:rsid w:val="00B61D2C"/>
    <w:rsid w:val="00B61E14"/>
    <w:rsid w:val="00B620FB"/>
    <w:rsid w:val="00B6297B"/>
    <w:rsid w:val="00B6367E"/>
    <w:rsid w:val="00B63E5D"/>
    <w:rsid w:val="00B64FCC"/>
    <w:rsid w:val="00B65649"/>
    <w:rsid w:val="00B65DFC"/>
    <w:rsid w:val="00B65FD0"/>
    <w:rsid w:val="00B6627C"/>
    <w:rsid w:val="00B66362"/>
    <w:rsid w:val="00B668CA"/>
    <w:rsid w:val="00B677CB"/>
    <w:rsid w:val="00B703DA"/>
    <w:rsid w:val="00B711B2"/>
    <w:rsid w:val="00B71234"/>
    <w:rsid w:val="00B71408"/>
    <w:rsid w:val="00B7145B"/>
    <w:rsid w:val="00B71698"/>
    <w:rsid w:val="00B71E4E"/>
    <w:rsid w:val="00B729C4"/>
    <w:rsid w:val="00B7411F"/>
    <w:rsid w:val="00B7496B"/>
    <w:rsid w:val="00B756B4"/>
    <w:rsid w:val="00B75A86"/>
    <w:rsid w:val="00B764B6"/>
    <w:rsid w:val="00B764D0"/>
    <w:rsid w:val="00B77A12"/>
    <w:rsid w:val="00B77EAF"/>
    <w:rsid w:val="00B8008B"/>
    <w:rsid w:val="00B807B7"/>
    <w:rsid w:val="00B811BC"/>
    <w:rsid w:val="00B8126D"/>
    <w:rsid w:val="00B812A6"/>
    <w:rsid w:val="00B81561"/>
    <w:rsid w:val="00B81F61"/>
    <w:rsid w:val="00B83D35"/>
    <w:rsid w:val="00B8410C"/>
    <w:rsid w:val="00B846D6"/>
    <w:rsid w:val="00B8475F"/>
    <w:rsid w:val="00B8593A"/>
    <w:rsid w:val="00B85F0C"/>
    <w:rsid w:val="00B86C14"/>
    <w:rsid w:val="00B908FF"/>
    <w:rsid w:val="00B90918"/>
    <w:rsid w:val="00B9287A"/>
    <w:rsid w:val="00B92924"/>
    <w:rsid w:val="00B934F4"/>
    <w:rsid w:val="00B94243"/>
    <w:rsid w:val="00B94423"/>
    <w:rsid w:val="00B94801"/>
    <w:rsid w:val="00B94870"/>
    <w:rsid w:val="00B9563C"/>
    <w:rsid w:val="00B95696"/>
    <w:rsid w:val="00BA08D5"/>
    <w:rsid w:val="00BA0DAE"/>
    <w:rsid w:val="00BA0FFE"/>
    <w:rsid w:val="00BA17A5"/>
    <w:rsid w:val="00BA23A4"/>
    <w:rsid w:val="00BA2BE4"/>
    <w:rsid w:val="00BA2C1F"/>
    <w:rsid w:val="00BA3A1B"/>
    <w:rsid w:val="00BA4703"/>
    <w:rsid w:val="00BA472D"/>
    <w:rsid w:val="00BA49A0"/>
    <w:rsid w:val="00BA505C"/>
    <w:rsid w:val="00BA5CC8"/>
    <w:rsid w:val="00BA63F8"/>
    <w:rsid w:val="00BA6525"/>
    <w:rsid w:val="00BA670A"/>
    <w:rsid w:val="00BA7662"/>
    <w:rsid w:val="00BB0D8F"/>
    <w:rsid w:val="00BB0F94"/>
    <w:rsid w:val="00BB1E3E"/>
    <w:rsid w:val="00BB2428"/>
    <w:rsid w:val="00BB2F80"/>
    <w:rsid w:val="00BB36A1"/>
    <w:rsid w:val="00BB40CC"/>
    <w:rsid w:val="00BB4387"/>
    <w:rsid w:val="00BB6149"/>
    <w:rsid w:val="00BB6DAA"/>
    <w:rsid w:val="00BC036C"/>
    <w:rsid w:val="00BC0509"/>
    <w:rsid w:val="00BC0BE9"/>
    <w:rsid w:val="00BC0C5F"/>
    <w:rsid w:val="00BC0FB4"/>
    <w:rsid w:val="00BC1054"/>
    <w:rsid w:val="00BC17E9"/>
    <w:rsid w:val="00BC1A68"/>
    <w:rsid w:val="00BC1D60"/>
    <w:rsid w:val="00BC2305"/>
    <w:rsid w:val="00BC23FC"/>
    <w:rsid w:val="00BC32CA"/>
    <w:rsid w:val="00BC454A"/>
    <w:rsid w:val="00BC56D1"/>
    <w:rsid w:val="00BC738E"/>
    <w:rsid w:val="00BC7A0E"/>
    <w:rsid w:val="00BC7A90"/>
    <w:rsid w:val="00BD035B"/>
    <w:rsid w:val="00BD0FC8"/>
    <w:rsid w:val="00BD13DA"/>
    <w:rsid w:val="00BD1481"/>
    <w:rsid w:val="00BD1596"/>
    <w:rsid w:val="00BD15E5"/>
    <w:rsid w:val="00BD256D"/>
    <w:rsid w:val="00BD27FA"/>
    <w:rsid w:val="00BD4285"/>
    <w:rsid w:val="00BD4777"/>
    <w:rsid w:val="00BD502B"/>
    <w:rsid w:val="00BD5C9C"/>
    <w:rsid w:val="00BD5F61"/>
    <w:rsid w:val="00BD6029"/>
    <w:rsid w:val="00BD63E6"/>
    <w:rsid w:val="00BD7895"/>
    <w:rsid w:val="00BE0695"/>
    <w:rsid w:val="00BE08FD"/>
    <w:rsid w:val="00BE0BF2"/>
    <w:rsid w:val="00BE0D96"/>
    <w:rsid w:val="00BE0EA3"/>
    <w:rsid w:val="00BE0FC5"/>
    <w:rsid w:val="00BE13F9"/>
    <w:rsid w:val="00BE14FE"/>
    <w:rsid w:val="00BE17ED"/>
    <w:rsid w:val="00BE2602"/>
    <w:rsid w:val="00BE299C"/>
    <w:rsid w:val="00BE2C70"/>
    <w:rsid w:val="00BE2E98"/>
    <w:rsid w:val="00BE3094"/>
    <w:rsid w:val="00BE34E3"/>
    <w:rsid w:val="00BE396A"/>
    <w:rsid w:val="00BE3A5D"/>
    <w:rsid w:val="00BE4F37"/>
    <w:rsid w:val="00BE5824"/>
    <w:rsid w:val="00BE679E"/>
    <w:rsid w:val="00BE69D8"/>
    <w:rsid w:val="00BE6AF8"/>
    <w:rsid w:val="00BE6E38"/>
    <w:rsid w:val="00BF096B"/>
    <w:rsid w:val="00BF0AC1"/>
    <w:rsid w:val="00BF13FA"/>
    <w:rsid w:val="00BF2D67"/>
    <w:rsid w:val="00BF31F7"/>
    <w:rsid w:val="00BF47F5"/>
    <w:rsid w:val="00BF4EF3"/>
    <w:rsid w:val="00BF51B7"/>
    <w:rsid w:val="00BF5B39"/>
    <w:rsid w:val="00BF60FE"/>
    <w:rsid w:val="00BF63FD"/>
    <w:rsid w:val="00BF7ABD"/>
    <w:rsid w:val="00BF7C29"/>
    <w:rsid w:val="00BF7D87"/>
    <w:rsid w:val="00C002C8"/>
    <w:rsid w:val="00C009BB"/>
    <w:rsid w:val="00C0173B"/>
    <w:rsid w:val="00C019F7"/>
    <w:rsid w:val="00C01C20"/>
    <w:rsid w:val="00C01F67"/>
    <w:rsid w:val="00C028B7"/>
    <w:rsid w:val="00C033F4"/>
    <w:rsid w:val="00C039A0"/>
    <w:rsid w:val="00C04586"/>
    <w:rsid w:val="00C046A0"/>
    <w:rsid w:val="00C068BF"/>
    <w:rsid w:val="00C06B7D"/>
    <w:rsid w:val="00C06B7E"/>
    <w:rsid w:val="00C07AF3"/>
    <w:rsid w:val="00C11A2C"/>
    <w:rsid w:val="00C11C4D"/>
    <w:rsid w:val="00C11DF5"/>
    <w:rsid w:val="00C12938"/>
    <w:rsid w:val="00C12CF7"/>
    <w:rsid w:val="00C13854"/>
    <w:rsid w:val="00C13F85"/>
    <w:rsid w:val="00C14AF8"/>
    <w:rsid w:val="00C15B70"/>
    <w:rsid w:val="00C163B9"/>
    <w:rsid w:val="00C16472"/>
    <w:rsid w:val="00C177F0"/>
    <w:rsid w:val="00C17A82"/>
    <w:rsid w:val="00C207A9"/>
    <w:rsid w:val="00C20E46"/>
    <w:rsid w:val="00C211F5"/>
    <w:rsid w:val="00C215BF"/>
    <w:rsid w:val="00C216EF"/>
    <w:rsid w:val="00C21904"/>
    <w:rsid w:val="00C21B56"/>
    <w:rsid w:val="00C224BB"/>
    <w:rsid w:val="00C22C51"/>
    <w:rsid w:val="00C23909"/>
    <w:rsid w:val="00C24164"/>
    <w:rsid w:val="00C24D56"/>
    <w:rsid w:val="00C2539B"/>
    <w:rsid w:val="00C2597B"/>
    <w:rsid w:val="00C25FCB"/>
    <w:rsid w:val="00C26743"/>
    <w:rsid w:val="00C26B63"/>
    <w:rsid w:val="00C26E15"/>
    <w:rsid w:val="00C26E18"/>
    <w:rsid w:val="00C27403"/>
    <w:rsid w:val="00C279B8"/>
    <w:rsid w:val="00C27B2B"/>
    <w:rsid w:val="00C27F1A"/>
    <w:rsid w:val="00C30F8B"/>
    <w:rsid w:val="00C311EE"/>
    <w:rsid w:val="00C31B1F"/>
    <w:rsid w:val="00C31BF2"/>
    <w:rsid w:val="00C31F37"/>
    <w:rsid w:val="00C326EB"/>
    <w:rsid w:val="00C32957"/>
    <w:rsid w:val="00C3380A"/>
    <w:rsid w:val="00C340CC"/>
    <w:rsid w:val="00C36602"/>
    <w:rsid w:val="00C36DC7"/>
    <w:rsid w:val="00C374B1"/>
    <w:rsid w:val="00C40505"/>
    <w:rsid w:val="00C405F3"/>
    <w:rsid w:val="00C4080E"/>
    <w:rsid w:val="00C408B9"/>
    <w:rsid w:val="00C4214D"/>
    <w:rsid w:val="00C428C2"/>
    <w:rsid w:val="00C42BFD"/>
    <w:rsid w:val="00C42D61"/>
    <w:rsid w:val="00C43D4F"/>
    <w:rsid w:val="00C44B2F"/>
    <w:rsid w:val="00C44CB8"/>
    <w:rsid w:val="00C450D9"/>
    <w:rsid w:val="00C455D8"/>
    <w:rsid w:val="00C45BDD"/>
    <w:rsid w:val="00C461C5"/>
    <w:rsid w:val="00C4621C"/>
    <w:rsid w:val="00C46A5C"/>
    <w:rsid w:val="00C472AF"/>
    <w:rsid w:val="00C4764C"/>
    <w:rsid w:val="00C514FE"/>
    <w:rsid w:val="00C527B4"/>
    <w:rsid w:val="00C52F74"/>
    <w:rsid w:val="00C540FF"/>
    <w:rsid w:val="00C54BA0"/>
    <w:rsid w:val="00C54DC2"/>
    <w:rsid w:val="00C55BB9"/>
    <w:rsid w:val="00C56377"/>
    <w:rsid w:val="00C5694A"/>
    <w:rsid w:val="00C56B91"/>
    <w:rsid w:val="00C5739F"/>
    <w:rsid w:val="00C57ED4"/>
    <w:rsid w:val="00C60AFF"/>
    <w:rsid w:val="00C60D6C"/>
    <w:rsid w:val="00C6311A"/>
    <w:rsid w:val="00C6317B"/>
    <w:rsid w:val="00C63A4B"/>
    <w:rsid w:val="00C6421E"/>
    <w:rsid w:val="00C64DFE"/>
    <w:rsid w:val="00C6579F"/>
    <w:rsid w:val="00C65BA3"/>
    <w:rsid w:val="00C65CBD"/>
    <w:rsid w:val="00C66413"/>
    <w:rsid w:val="00C66E4D"/>
    <w:rsid w:val="00C673ED"/>
    <w:rsid w:val="00C67809"/>
    <w:rsid w:val="00C7022D"/>
    <w:rsid w:val="00C70E64"/>
    <w:rsid w:val="00C7102F"/>
    <w:rsid w:val="00C71838"/>
    <w:rsid w:val="00C722D3"/>
    <w:rsid w:val="00C72890"/>
    <w:rsid w:val="00C73A80"/>
    <w:rsid w:val="00C73B1A"/>
    <w:rsid w:val="00C74A6E"/>
    <w:rsid w:val="00C74A9A"/>
    <w:rsid w:val="00C74B69"/>
    <w:rsid w:val="00C750D3"/>
    <w:rsid w:val="00C758D8"/>
    <w:rsid w:val="00C75990"/>
    <w:rsid w:val="00C75F3D"/>
    <w:rsid w:val="00C76AD3"/>
    <w:rsid w:val="00C77DBA"/>
    <w:rsid w:val="00C80036"/>
    <w:rsid w:val="00C80148"/>
    <w:rsid w:val="00C80FBF"/>
    <w:rsid w:val="00C81949"/>
    <w:rsid w:val="00C823C4"/>
    <w:rsid w:val="00C82446"/>
    <w:rsid w:val="00C82966"/>
    <w:rsid w:val="00C8299B"/>
    <w:rsid w:val="00C82D7F"/>
    <w:rsid w:val="00C832BD"/>
    <w:rsid w:val="00C83E56"/>
    <w:rsid w:val="00C84041"/>
    <w:rsid w:val="00C84052"/>
    <w:rsid w:val="00C84825"/>
    <w:rsid w:val="00C85C4B"/>
    <w:rsid w:val="00C86A02"/>
    <w:rsid w:val="00C87F96"/>
    <w:rsid w:val="00C908FA"/>
    <w:rsid w:val="00C913ED"/>
    <w:rsid w:val="00C919C2"/>
    <w:rsid w:val="00C9290F"/>
    <w:rsid w:val="00C929A7"/>
    <w:rsid w:val="00C93232"/>
    <w:rsid w:val="00C948D9"/>
    <w:rsid w:val="00C97337"/>
    <w:rsid w:val="00C9741B"/>
    <w:rsid w:val="00C97C6D"/>
    <w:rsid w:val="00CA2290"/>
    <w:rsid w:val="00CA28B0"/>
    <w:rsid w:val="00CA3779"/>
    <w:rsid w:val="00CA3909"/>
    <w:rsid w:val="00CA3FF7"/>
    <w:rsid w:val="00CA40D1"/>
    <w:rsid w:val="00CA4939"/>
    <w:rsid w:val="00CA63CF"/>
    <w:rsid w:val="00CA6B3F"/>
    <w:rsid w:val="00CA7588"/>
    <w:rsid w:val="00CB1507"/>
    <w:rsid w:val="00CB1A53"/>
    <w:rsid w:val="00CB1A66"/>
    <w:rsid w:val="00CB2F7E"/>
    <w:rsid w:val="00CB3308"/>
    <w:rsid w:val="00CB360B"/>
    <w:rsid w:val="00CB37B0"/>
    <w:rsid w:val="00CB4726"/>
    <w:rsid w:val="00CB4CCC"/>
    <w:rsid w:val="00CB4F91"/>
    <w:rsid w:val="00CB5624"/>
    <w:rsid w:val="00CB59A7"/>
    <w:rsid w:val="00CB5C3C"/>
    <w:rsid w:val="00CB60DE"/>
    <w:rsid w:val="00CB66E7"/>
    <w:rsid w:val="00CB7E7E"/>
    <w:rsid w:val="00CC01FA"/>
    <w:rsid w:val="00CC03B5"/>
    <w:rsid w:val="00CC0470"/>
    <w:rsid w:val="00CC08BC"/>
    <w:rsid w:val="00CC1677"/>
    <w:rsid w:val="00CC2EB1"/>
    <w:rsid w:val="00CC30C4"/>
    <w:rsid w:val="00CC3648"/>
    <w:rsid w:val="00CC3959"/>
    <w:rsid w:val="00CC3BFD"/>
    <w:rsid w:val="00CC5883"/>
    <w:rsid w:val="00CC6651"/>
    <w:rsid w:val="00CC7C2B"/>
    <w:rsid w:val="00CC7E16"/>
    <w:rsid w:val="00CD02FD"/>
    <w:rsid w:val="00CD0EDB"/>
    <w:rsid w:val="00CD150E"/>
    <w:rsid w:val="00CD1A23"/>
    <w:rsid w:val="00CD22EF"/>
    <w:rsid w:val="00CD2E8D"/>
    <w:rsid w:val="00CD305F"/>
    <w:rsid w:val="00CD480F"/>
    <w:rsid w:val="00CD4D29"/>
    <w:rsid w:val="00CD67C6"/>
    <w:rsid w:val="00CD6918"/>
    <w:rsid w:val="00CD6EB5"/>
    <w:rsid w:val="00CD77F3"/>
    <w:rsid w:val="00CD7DC1"/>
    <w:rsid w:val="00CE1619"/>
    <w:rsid w:val="00CE183D"/>
    <w:rsid w:val="00CE1A1F"/>
    <w:rsid w:val="00CE1D15"/>
    <w:rsid w:val="00CE2904"/>
    <w:rsid w:val="00CE290B"/>
    <w:rsid w:val="00CE2C9C"/>
    <w:rsid w:val="00CE3154"/>
    <w:rsid w:val="00CE3EC2"/>
    <w:rsid w:val="00CE4A55"/>
    <w:rsid w:val="00CE6048"/>
    <w:rsid w:val="00CE76D0"/>
    <w:rsid w:val="00CF1419"/>
    <w:rsid w:val="00CF1AAC"/>
    <w:rsid w:val="00CF20DD"/>
    <w:rsid w:val="00CF214D"/>
    <w:rsid w:val="00CF2923"/>
    <w:rsid w:val="00CF2CDC"/>
    <w:rsid w:val="00CF2D2A"/>
    <w:rsid w:val="00CF328D"/>
    <w:rsid w:val="00CF3429"/>
    <w:rsid w:val="00CF3CDD"/>
    <w:rsid w:val="00CF4487"/>
    <w:rsid w:val="00CF44F6"/>
    <w:rsid w:val="00CF4978"/>
    <w:rsid w:val="00CF4A38"/>
    <w:rsid w:val="00CF6228"/>
    <w:rsid w:val="00CF6391"/>
    <w:rsid w:val="00CF72D2"/>
    <w:rsid w:val="00CF76ED"/>
    <w:rsid w:val="00CF7DBD"/>
    <w:rsid w:val="00D007FB"/>
    <w:rsid w:val="00D00E4A"/>
    <w:rsid w:val="00D01947"/>
    <w:rsid w:val="00D020C3"/>
    <w:rsid w:val="00D024E6"/>
    <w:rsid w:val="00D028EA"/>
    <w:rsid w:val="00D037CA"/>
    <w:rsid w:val="00D03941"/>
    <w:rsid w:val="00D03F3A"/>
    <w:rsid w:val="00D05E64"/>
    <w:rsid w:val="00D06198"/>
    <w:rsid w:val="00D073F5"/>
    <w:rsid w:val="00D077C9"/>
    <w:rsid w:val="00D07E36"/>
    <w:rsid w:val="00D101C2"/>
    <w:rsid w:val="00D106F2"/>
    <w:rsid w:val="00D1283E"/>
    <w:rsid w:val="00D129B5"/>
    <w:rsid w:val="00D1338A"/>
    <w:rsid w:val="00D13A14"/>
    <w:rsid w:val="00D157D1"/>
    <w:rsid w:val="00D1622A"/>
    <w:rsid w:val="00D16295"/>
    <w:rsid w:val="00D17B15"/>
    <w:rsid w:val="00D17F4A"/>
    <w:rsid w:val="00D205DB"/>
    <w:rsid w:val="00D21339"/>
    <w:rsid w:val="00D21BF9"/>
    <w:rsid w:val="00D21F62"/>
    <w:rsid w:val="00D231E7"/>
    <w:rsid w:val="00D234CA"/>
    <w:rsid w:val="00D2402D"/>
    <w:rsid w:val="00D24B31"/>
    <w:rsid w:val="00D24DA4"/>
    <w:rsid w:val="00D24E76"/>
    <w:rsid w:val="00D257D8"/>
    <w:rsid w:val="00D26592"/>
    <w:rsid w:val="00D267EA"/>
    <w:rsid w:val="00D2687A"/>
    <w:rsid w:val="00D26B5B"/>
    <w:rsid w:val="00D27944"/>
    <w:rsid w:val="00D30419"/>
    <w:rsid w:val="00D3090D"/>
    <w:rsid w:val="00D30C0B"/>
    <w:rsid w:val="00D31686"/>
    <w:rsid w:val="00D31973"/>
    <w:rsid w:val="00D31CDE"/>
    <w:rsid w:val="00D3218F"/>
    <w:rsid w:val="00D321EF"/>
    <w:rsid w:val="00D336F6"/>
    <w:rsid w:val="00D337F6"/>
    <w:rsid w:val="00D33804"/>
    <w:rsid w:val="00D33866"/>
    <w:rsid w:val="00D34A67"/>
    <w:rsid w:val="00D351AD"/>
    <w:rsid w:val="00D356A1"/>
    <w:rsid w:val="00D36380"/>
    <w:rsid w:val="00D36D44"/>
    <w:rsid w:val="00D37428"/>
    <w:rsid w:val="00D406D2"/>
    <w:rsid w:val="00D416B3"/>
    <w:rsid w:val="00D41E6C"/>
    <w:rsid w:val="00D420CE"/>
    <w:rsid w:val="00D421CC"/>
    <w:rsid w:val="00D42868"/>
    <w:rsid w:val="00D42A26"/>
    <w:rsid w:val="00D43A16"/>
    <w:rsid w:val="00D443DB"/>
    <w:rsid w:val="00D44485"/>
    <w:rsid w:val="00D453A7"/>
    <w:rsid w:val="00D45C32"/>
    <w:rsid w:val="00D46CFA"/>
    <w:rsid w:val="00D474F1"/>
    <w:rsid w:val="00D47CA6"/>
    <w:rsid w:val="00D505A7"/>
    <w:rsid w:val="00D527DA"/>
    <w:rsid w:val="00D5289C"/>
    <w:rsid w:val="00D528B4"/>
    <w:rsid w:val="00D53174"/>
    <w:rsid w:val="00D53635"/>
    <w:rsid w:val="00D551FD"/>
    <w:rsid w:val="00D56FAB"/>
    <w:rsid w:val="00D57170"/>
    <w:rsid w:val="00D57758"/>
    <w:rsid w:val="00D57B09"/>
    <w:rsid w:val="00D603E1"/>
    <w:rsid w:val="00D608BC"/>
    <w:rsid w:val="00D60C22"/>
    <w:rsid w:val="00D62182"/>
    <w:rsid w:val="00D62DEA"/>
    <w:rsid w:val="00D634A5"/>
    <w:rsid w:val="00D63B93"/>
    <w:rsid w:val="00D64440"/>
    <w:rsid w:val="00D64A03"/>
    <w:rsid w:val="00D65545"/>
    <w:rsid w:val="00D65902"/>
    <w:rsid w:val="00D65F75"/>
    <w:rsid w:val="00D65FA7"/>
    <w:rsid w:val="00D66075"/>
    <w:rsid w:val="00D676D1"/>
    <w:rsid w:val="00D70D44"/>
    <w:rsid w:val="00D70F53"/>
    <w:rsid w:val="00D710CA"/>
    <w:rsid w:val="00D71652"/>
    <w:rsid w:val="00D71B30"/>
    <w:rsid w:val="00D71C1B"/>
    <w:rsid w:val="00D71C95"/>
    <w:rsid w:val="00D71EB1"/>
    <w:rsid w:val="00D7204E"/>
    <w:rsid w:val="00D73257"/>
    <w:rsid w:val="00D733A1"/>
    <w:rsid w:val="00D7356F"/>
    <w:rsid w:val="00D73993"/>
    <w:rsid w:val="00D74984"/>
    <w:rsid w:val="00D74A9A"/>
    <w:rsid w:val="00D75B79"/>
    <w:rsid w:val="00D75BD3"/>
    <w:rsid w:val="00D76D0F"/>
    <w:rsid w:val="00D77469"/>
    <w:rsid w:val="00D77BB7"/>
    <w:rsid w:val="00D82B7C"/>
    <w:rsid w:val="00D834FA"/>
    <w:rsid w:val="00D83F60"/>
    <w:rsid w:val="00D85998"/>
    <w:rsid w:val="00D8621B"/>
    <w:rsid w:val="00D86677"/>
    <w:rsid w:val="00D8745B"/>
    <w:rsid w:val="00D875EF"/>
    <w:rsid w:val="00D87DE4"/>
    <w:rsid w:val="00D901F3"/>
    <w:rsid w:val="00D914FF"/>
    <w:rsid w:val="00D926FB"/>
    <w:rsid w:val="00D92E24"/>
    <w:rsid w:val="00D9394D"/>
    <w:rsid w:val="00D93F38"/>
    <w:rsid w:val="00D95FB4"/>
    <w:rsid w:val="00D96AA2"/>
    <w:rsid w:val="00D96C0A"/>
    <w:rsid w:val="00D96D58"/>
    <w:rsid w:val="00D9708C"/>
    <w:rsid w:val="00D9752E"/>
    <w:rsid w:val="00DA0017"/>
    <w:rsid w:val="00DA035A"/>
    <w:rsid w:val="00DA05A3"/>
    <w:rsid w:val="00DA18BA"/>
    <w:rsid w:val="00DA1B87"/>
    <w:rsid w:val="00DA1F66"/>
    <w:rsid w:val="00DA306A"/>
    <w:rsid w:val="00DA3A95"/>
    <w:rsid w:val="00DA4755"/>
    <w:rsid w:val="00DA4EC3"/>
    <w:rsid w:val="00DA6283"/>
    <w:rsid w:val="00DA65A2"/>
    <w:rsid w:val="00DA7334"/>
    <w:rsid w:val="00DA7BDC"/>
    <w:rsid w:val="00DB0379"/>
    <w:rsid w:val="00DB0D88"/>
    <w:rsid w:val="00DB1284"/>
    <w:rsid w:val="00DB153F"/>
    <w:rsid w:val="00DB2294"/>
    <w:rsid w:val="00DB3014"/>
    <w:rsid w:val="00DB3BB5"/>
    <w:rsid w:val="00DB3E4C"/>
    <w:rsid w:val="00DB4566"/>
    <w:rsid w:val="00DB61AF"/>
    <w:rsid w:val="00DB6665"/>
    <w:rsid w:val="00DB6FF7"/>
    <w:rsid w:val="00DB6FFA"/>
    <w:rsid w:val="00DB75CA"/>
    <w:rsid w:val="00DB7BA4"/>
    <w:rsid w:val="00DB7BE3"/>
    <w:rsid w:val="00DB7E3D"/>
    <w:rsid w:val="00DB7E52"/>
    <w:rsid w:val="00DB7ED1"/>
    <w:rsid w:val="00DC0668"/>
    <w:rsid w:val="00DC18E5"/>
    <w:rsid w:val="00DC2209"/>
    <w:rsid w:val="00DC247A"/>
    <w:rsid w:val="00DC24DF"/>
    <w:rsid w:val="00DC2FDA"/>
    <w:rsid w:val="00DC3092"/>
    <w:rsid w:val="00DC3C2F"/>
    <w:rsid w:val="00DC483B"/>
    <w:rsid w:val="00DC5C14"/>
    <w:rsid w:val="00DC6C94"/>
    <w:rsid w:val="00DC6D7E"/>
    <w:rsid w:val="00DD012B"/>
    <w:rsid w:val="00DD09BC"/>
    <w:rsid w:val="00DD1425"/>
    <w:rsid w:val="00DD19C4"/>
    <w:rsid w:val="00DD1C03"/>
    <w:rsid w:val="00DD269D"/>
    <w:rsid w:val="00DD28A5"/>
    <w:rsid w:val="00DD2F24"/>
    <w:rsid w:val="00DD42A1"/>
    <w:rsid w:val="00DD4D54"/>
    <w:rsid w:val="00DD53D6"/>
    <w:rsid w:val="00DD545A"/>
    <w:rsid w:val="00DD59F3"/>
    <w:rsid w:val="00DD5A38"/>
    <w:rsid w:val="00DD6301"/>
    <w:rsid w:val="00DD7327"/>
    <w:rsid w:val="00DD7697"/>
    <w:rsid w:val="00DD79D4"/>
    <w:rsid w:val="00DE045A"/>
    <w:rsid w:val="00DE12EC"/>
    <w:rsid w:val="00DE1333"/>
    <w:rsid w:val="00DE1D91"/>
    <w:rsid w:val="00DE1FBD"/>
    <w:rsid w:val="00DE1FEB"/>
    <w:rsid w:val="00DE2A17"/>
    <w:rsid w:val="00DE2BF1"/>
    <w:rsid w:val="00DE30E4"/>
    <w:rsid w:val="00DE499A"/>
    <w:rsid w:val="00DE4FA9"/>
    <w:rsid w:val="00DE4FD3"/>
    <w:rsid w:val="00DE52D1"/>
    <w:rsid w:val="00DE5500"/>
    <w:rsid w:val="00DE60CE"/>
    <w:rsid w:val="00DE6C5C"/>
    <w:rsid w:val="00DE6F87"/>
    <w:rsid w:val="00DF007C"/>
    <w:rsid w:val="00DF2BC3"/>
    <w:rsid w:val="00DF309B"/>
    <w:rsid w:val="00DF34D0"/>
    <w:rsid w:val="00DF385B"/>
    <w:rsid w:val="00DF3891"/>
    <w:rsid w:val="00DF3E0D"/>
    <w:rsid w:val="00DF3E91"/>
    <w:rsid w:val="00DF4270"/>
    <w:rsid w:val="00DF47BB"/>
    <w:rsid w:val="00DF4863"/>
    <w:rsid w:val="00DF5490"/>
    <w:rsid w:val="00DF7F76"/>
    <w:rsid w:val="00E00428"/>
    <w:rsid w:val="00E01245"/>
    <w:rsid w:val="00E01540"/>
    <w:rsid w:val="00E0269C"/>
    <w:rsid w:val="00E04DEC"/>
    <w:rsid w:val="00E05B76"/>
    <w:rsid w:val="00E07DA7"/>
    <w:rsid w:val="00E07DAA"/>
    <w:rsid w:val="00E10083"/>
    <w:rsid w:val="00E102A1"/>
    <w:rsid w:val="00E126C1"/>
    <w:rsid w:val="00E135D2"/>
    <w:rsid w:val="00E13B00"/>
    <w:rsid w:val="00E142B4"/>
    <w:rsid w:val="00E144B9"/>
    <w:rsid w:val="00E14692"/>
    <w:rsid w:val="00E151F2"/>
    <w:rsid w:val="00E16416"/>
    <w:rsid w:val="00E170E1"/>
    <w:rsid w:val="00E17979"/>
    <w:rsid w:val="00E17E20"/>
    <w:rsid w:val="00E17FBC"/>
    <w:rsid w:val="00E20704"/>
    <w:rsid w:val="00E2101B"/>
    <w:rsid w:val="00E2159A"/>
    <w:rsid w:val="00E21E72"/>
    <w:rsid w:val="00E228F0"/>
    <w:rsid w:val="00E22A65"/>
    <w:rsid w:val="00E2344B"/>
    <w:rsid w:val="00E2358A"/>
    <w:rsid w:val="00E23B01"/>
    <w:rsid w:val="00E23BE0"/>
    <w:rsid w:val="00E23DDA"/>
    <w:rsid w:val="00E23FB0"/>
    <w:rsid w:val="00E24C96"/>
    <w:rsid w:val="00E24CA2"/>
    <w:rsid w:val="00E25182"/>
    <w:rsid w:val="00E25D43"/>
    <w:rsid w:val="00E26310"/>
    <w:rsid w:val="00E266A4"/>
    <w:rsid w:val="00E2690A"/>
    <w:rsid w:val="00E27744"/>
    <w:rsid w:val="00E278ED"/>
    <w:rsid w:val="00E3116F"/>
    <w:rsid w:val="00E324C5"/>
    <w:rsid w:val="00E32BC9"/>
    <w:rsid w:val="00E3373E"/>
    <w:rsid w:val="00E3386C"/>
    <w:rsid w:val="00E33C78"/>
    <w:rsid w:val="00E33DF3"/>
    <w:rsid w:val="00E3448A"/>
    <w:rsid w:val="00E34A24"/>
    <w:rsid w:val="00E34FE7"/>
    <w:rsid w:val="00E3796C"/>
    <w:rsid w:val="00E4043D"/>
    <w:rsid w:val="00E41488"/>
    <w:rsid w:val="00E41E5D"/>
    <w:rsid w:val="00E425E6"/>
    <w:rsid w:val="00E42657"/>
    <w:rsid w:val="00E426B4"/>
    <w:rsid w:val="00E436A8"/>
    <w:rsid w:val="00E43A59"/>
    <w:rsid w:val="00E44AC4"/>
    <w:rsid w:val="00E46D97"/>
    <w:rsid w:val="00E47089"/>
    <w:rsid w:val="00E47486"/>
    <w:rsid w:val="00E50CBC"/>
    <w:rsid w:val="00E51250"/>
    <w:rsid w:val="00E5170A"/>
    <w:rsid w:val="00E51CC4"/>
    <w:rsid w:val="00E540C6"/>
    <w:rsid w:val="00E5484B"/>
    <w:rsid w:val="00E569E2"/>
    <w:rsid w:val="00E575C3"/>
    <w:rsid w:val="00E60583"/>
    <w:rsid w:val="00E605FF"/>
    <w:rsid w:val="00E60A69"/>
    <w:rsid w:val="00E61647"/>
    <w:rsid w:val="00E625CB"/>
    <w:rsid w:val="00E63977"/>
    <w:rsid w:val="00E64715"/>
    <w:rsid w:val="00E64C0D"/>
    <w:rsid w:val="00E651BB"/>
    <w:rsid w:val="00E653F8"/>
    <w:rsid w:val="00E663DD"/>
    <w:rsid w:val="00E7075F"/>
    <w:rsid w:val="00E70C74"/>
    <w:rsid w:val="00E716E8"/>
    <w:rsid w:val="00E71F9D"/>
    <w:rsid w:val="00E7217F"/>
    <w:rsid w:val="00E729AC"/>
    <w:rsid w:val="00E736D4"/>
    <w:rsid w:val="00E73C13"/>
    <w:rsid w:val="00E7478A"/>
    <w:rsid w:val="00E74DD8"/>
    <w:rsid w:val="00E752B6"/>
    <w:rsid w:val="00E75DDF"/>
    <w:rsid w:val="00E775D0"/>
    <w:rsid w:val="00E7765B"/>
    <w:rsid w:val="00E802EF"/>
    <w:rsid w:val="00E80D0E"/>
    <w:rsid w:val="00E812E6"/>
    <w:rsid w:val="00E81A22"/>
    <w:rsid w:val="00E81FF5"/>
    <w:rsid w:val="00E823CF"/>
    <w:rsid w:val="00E82984"/>
    <w:rsid w:val="00E82C7F"/>
    <w:rsid w:val="00E84D8B"/>
    <w:rsid w:val="00E85EC6"/>
    <w:rsid w:val="00E8695C"/>
    <w:rsid w:val="00E86F1E"/>
    <w:rsid w:val="00E87C9A"/>
    <w:rsid w:val="00E904A3"/>
    <w:rsid w:val="00E909E4"/>
    <w:rsid w:val="00E90E6E"/>
    <w:rsid w:val="00E91986"/>
    <w:rsid w:val="00E91DA4"/>
    <w:rsid w:val="00E92960"/>
    <w:rsid w:val="00E9441D"/>
    <w:rsid w:val="00E94838"/>
    <w:rsid w:val="00E9499A"/>
    <w:rsid w:val="00E95371"/>
    <w:rsid w:val="00E95A4C"/>
    <w:rsid w:val="00E9606E"/>
    <w:rsid w:val="00E964C5"/>
    <w:rsid w:val="00E9729A"/>
    <w:rsid w:val="00E97FFD"/>
    <w:rsid w:val="00EA0073"/>
    <w:rsid w:val="00EA0DBF"/>
    <w:rsid w:val="00EA0F2A"/>
    <w:rsid w:val="00EA1647"/>
    <w:rsid w:val="00EA27FB"/>
    <w:rsid w:val="00EA29D4"/>
    <w:rsid w:val="00EA2D5B"/>
    <w:rsid w:val="00EA3263"/>
    <w:rsid w:val="00EA3CC8"/>
    <w:rsid w:val="00EA4909"/>
    <w:rsid w:val="00EA61E0"/>
    <w:rsid w:val="00EA640D"/>
    <w:rsid w:val="00EA683B"/>
    <w:rsid w:val="00EA6D49"/>
    <w:rsid w:val="00EA7561"/>
    <w:rsid w:val="00EA76D8"/>
    <w:rsid w:val="00EB0324"/>
    <w:rsid w:val="00EB0475"/>
    <w:rsid w:val="00EB0661"/>
    <w:rsid w:val="00EB0988"/>
    <w:rsid w:val="00EB0C8C"/>
    <w:rsid w:val="00EB0D4E"/>
    <w:rsid w:val="00EB15B5"/>
    <w:rsid w:val="00EB24BB"/>
    <w:rsid w:val="00EB30B5"/>
    <w:rsid w:val="00EB3D48"/>
    <w:rsid w:val="00EB4054"/>
    <w:rsid w:val="00EB430D"/>
    <w:rsid w:val="00EB44E1"/>
    <w:rsid w:val="00EB48CD"/>
    <w:rsid w:val="00EB4DE9"/>
    <w:rsid w:val="00EB6DEE"/>
    <w:rsid w:val="00EB7AC6"/>
    <w:rsid w:val="00EC1903"/>
    <w:rsid w:val="00EC2ECB"/>
    <w:rsid w:val="00EC3008"/>
    <w:rsid w:val="00EC316D"/>
    <w:rsid w:val="00EC332E"/>
    <w:rsid w:val="00EC3777"/>
    <w:rsid w:val="00EC39B8"/>
    <w:rsid w:val="00EC3E24"/>
    <w:rsid w:val="00EC4683"/>
    <w:rsid w:val="00EC48AA"/>
    <w:rsid w:val="00EC4D06"/>
    <w:rsid w:val="00EC502C"/>
    <w:rsid w:val="00EC5878"/>
    <w:rsid w:val="00EC6E55"/>
    <w:rsid w:val="00EC7174"/>
    <w:rsid w:val="00ED01BC"/>
    <w:rsid w:val="00ED0276"/>
    <w:rsid w:val="00ED1BFE"/>
    <w:rsid w:val="00ED2368"/>
    <w:rsid w:val="00ED3AED"/>
    <w:rsid w:val="00ED3E2A"/>
    <w:rsid w:val="00ED42CA"/>
    <w:rsid w:val="00ED4C3F"/>
    <w:rsid w:val="00ED4C62"/>
    <w:rsid w:val="00ED557E"/>
    <w:rsid w:val="00ED5746"/>
    <w:rsid w:val="00ED5D82"/>
    <w:rsid w:val="00ED5D8C"/>
    <w:rsid w:val="00ED66D1"/>
    <w:rsid w:val="00ED6FF3"/>
    <w:rsid w:val="00ED71BB"/>
    <w:rsid w:val="00ED727A"/>
    <w:rsid w:val="00ED7509"/>
    <w:rsid w:val="00EE112C"/>
    <w:rsid w:val="00EE11FF"/>
    <w:rsid w:val="00EE1CD5"/>
    <w:rsid w:val="00EE1FB5"/>
    <w:rsid w:val="00EE25E6"/>
    <w:rsid w:val="00EE2EBA"/>
    <w:rsid w:val="00EE2EEB"/>
    <w:rsid w:val="00EE3287"/>
    <w:rsid w:val="00EE33A4"/>
    <w:rsid w:val="00EE3585"/>
    <w:rsid w:val="00EE38A1"/>
    <w:rsid w:val="00EE463E"/>
    <w:rsid w:val="00EE467A"/>
    <w:rsid w:val="00EE495C"/>
    <w:rsid w:val="00EE4A2C"/>
    <w:rsid w:val="00EE4C18"/>
    <w:rsid w:val="00EE5079"/>
    <w:rsid w:val="00EE53F0"/>
    <w:rsid w:val="00EE60EF"/>
    <w:rsid w:val="00EE6C72"/>
    <w:rsid w:val="00EE6F0E"/>
    <w:rsid w:val="00EE72E1"/>
    <w:rsid w:val="00EF07A1"/>
    <w:rsid w:val="00EF146D"/>
    <w:rsid w:val="00EF2106"/>
    <w:rsid w:val="00EF22C3"/>
    <w:rsid w:val="00EF2B2A"/>
    <w:rsid w:val="00EF2D62"/>
    <w:rsid w:val="00EF33B2"/>
    <w:rsid w:val="00EF374E"/>
    <w:rsid w:val="00EF4CC7"/>
    <w:rsid w:val="00EF4CCF"/>
    <w:rsid w:val="00EF5370"/>
    <w:rsid w:val="00EF5D3F"/>
    <w:rsid w:val="00EF62CC"/>
    <w:rsid w:val="00EF64AD"/>
    <w:rsid w:val="00EF663C"/>
    <w:rsid w:val="00F004AE"/>
    <w:rsid w:val="00F00DF4"/>
    <w:rsid w:val="00F01126"/>
    <w:rsid w:val="00F05883"/>
    <w:rsid w:val="00F06E9C"/>
    <w:rsid w:val="00F076F8"/>
    <w:rsid w:val="00F07A55"/>
    <w:rsid w:val="00F07A9E"/>
    <w:rsid w:val="00F11126"/>
    <w:rsid w:val="00F11587"/>
    <w:rsid w:val="00F1193E"/>
    <w:rsid w:val="00F11DE8"/>
    <w:rsid w:val="00F11ECB"/>
    <w:rsid w:val="00F12819"/>
    <w:rsid w:val="00F128FB"/>
    <w:rsid w:val="00F12D7C"/>
    <w:rsid w:val="00F15174"/>
    <w:rsid w:val="00F17253"/>
    <w:rsid w:val="00F17C7C"/>
    <w:rsid w:val="00F202F9"/>
    <w:rsid w:val="00F2056D"/>
    <w:rsid w:val="00F210AC"/>
    <w:rsid w:val="00F215D5"/>
    <w:rsid w:val="00F22D3C"/>
    <w:rsid w:val="00F235D5"/>
    <w:rsid w:val="00F244A6"/>
    <w:rsid w:val="00F24D61"/>
    <w:rsid w:val="00F2585F"/>
    <w:rsid w:val="00F2588A"/>
    <w:rsid w:val="00F262E2"/>
    <w:rsid w:val="00F2681A"/>
    <w:rsid w:val="00F26C4E"/>
    <w:rsid w:val="00F304DC"/>
    <w:rsid w:val="00F30C80"/>
    <w:rsid w:val="00F30DCA"/>
    <w:rsid w:val="00F31146"/>
    <w:rsid w:val="00F32780"/>
    <w:rsid w:val="00F32E1B"/>
    <w:rsid w:val="00F330FA"/>
    <w:rsid w:val="00F33292"/>
    <w:rsid w:val="00F334D3"/>
    <w:rsid w:val="00F33A25"/>
    <w:rsid w:val="00F33C5F"/>
    <w:rsid w:val="00F343C5"/>
    <w:rsid w:val="00F344C8"/>
    <w:rsid w:val="00F34CAA"/>
    <w:rsid w:val="00F34F2A"/>
    <w:rsid w:val="00F356A1"/>
    <w:rsid w:val="00F358ED"/>
    <w:rsid w:val="00F3601A"/>
    <w:rsid w:val="00F376C5"/>
    <w:rsid w:val="00F37E51"/>
    <w:rsid w:val="00F412F7"/>
    <w:rsid w:val="00F41A98"/>
    <w:rsid w:val="00F41ED1"/>
    <w:rsid w:val="00F43023"/>
    <w:rsid w:val="00F44355"/>
    <w:rsid w:val="00F451CA"/>
    <w:rsid w:val="00F45D43"/>
    <w:rsid w:val="00F45FE7"/>
    <w:rsid w:val="00F46033"/>
    <w:rsid w:val="00F46774"/>
    <w:rsid w:val="00F468B2"/>
    <w:rsid w:val="00F516BB"/>
    <w:rsid w:val="00F51A82"/>
    <w:rsid w:val="00F525E8"/>
    <w:rsid w:val="00F52842"/>
    <w:rsid w:val="00F52FBA"/>
    <w:rsid w:val="00F53B8A"/>
    <w:rsid w:val="00F54437"/>
    <w:rsid w:val="00F5484D"/>
    <w:rsid w:val="00F549A1"/>
    <w:rsid w:val="00F54E07"/>
    <w:rsid w:val="00F5524A"/>
    <w:rsid w:val="00F55429"/>
    <w:rsid w:val="00F5596E"/>
    <w:rsid w:val="00F5642F"/>
    <w:rsid w:val="00F564A0"/>
    <w:rsid w:val="00F5724D"/>
    <w:rsid w:val="00F60B6C"/>
    <w:rsid w:val="00F615B1"/>
    <w:rsid w:val="00F62344"/>
    <w:rsid w:val="00F6316E"/>
    <w:rsid w:val="00F632D2"/>
    <w:rsid w:val="00F63938"/>
    <w:rsid w:val="00F63B60"/>
    <w:rsid w:val="00F64B5C"/>
    <w:rsid w:val="00F64DEA"/>
    <w:rsid w:val="00F65B86"/>
    <w:rsid w:val="00F660E3"/>
    <w:rsid w:val="00F67394"/>
    <w:rsid w:val="00F67B1D"/>
    <w:rsid w:val="00F67F47"/>
    <w:rsid w:val="00F71F5A"/>
    <w:rsid w:val="00F72287"/>
    <w:rsid w:val="00F725AF"/>
    <w:rsid w:val="00F7299F"/>
    <w:rsid w:val="00F731F8"/>
    <w:rsid w:val="00F733F3"/>
    <w:rsid w:val="00F743E4"/>
    <w:rsid w:val="00F74765"/>
    <w:rsid w:val="00F747D1"/>
    <w:rsid w:val="00F74EBA"/>
    <w:rsid w:val="00F751BD"/>
    <w:rsid w:val="00F75428"/>
    <w:rsid w:val="00F75724"/>
    <w:rsid w:val="00F7609B"/>
    <w:rsid w:val="00F77011"/>
    <w:rsid w:val="00F8087B"/>
    <w:rsid w:val="00F815DE"/>
    <w:rsid w:val="00F8198B"/>
    <w:rsid w:val="00F81A2A"/>
    <w:rsid w:val="00F82650"/>
    <w:rsid w:val="00F82A75"/>
    <w:rsid w:val="00F82A9B"/>
    <w:rsid w:val="00F8382C"/>
    <w:rsid w:val="00F8410A"/>
    <w:rsid w:val="00F8453F"/>
    <w:rsid w:val="00F8531D"/>
    <w:rsid w:val="00F85711"/>
    <w:rsid w:val="00F857F0"/>
    <w:rsid w:val="00F85F7C"/>
    <w:rsid w:val="00F864A3"/>
    <w:rsid w:val="00F869B5"/>
    <w:rsid w:val="00F908F3"/>
    <w:rsid w:val="00F90A8F"/>
    <w:rsid w:val="00F911EC"/>
    <w:rsid w:val="00F91489"/>
    <w:rsid w:val="00F92E39"/>
    <w:rsid w:val="00F932BF"/>
    <w:rsid w:val="00F93FB2"/>
    <w:rsid w:val="00F94E37"/>
    <w:rsid w:val="00F95140"/>
    <w:rsid w:val="00F9618F"/>
    <w:rsid w:val="00F96F41"/>
    <w:rsid w:val="00F97162"/>
    <w:rsid w:val="00F97667"/>
    <w:rsid w:val="00FA06F8"/>
    <w:rsid w:val="00FA0B72"/>
    <w:rsid w:val="00FA0E8E"/>
    <w:rsid w:val="00FA11DC"/>
    <w:rsid w:val="00FA21FF"/>
    <w:rsid w:val="00FA2388"/>
    <w:rsid w:val="00FA26FC"/>
    <w:rsid w:val="00FA36C6"/>
    <w:rsid w:val="00FA3D38"/>
    <w:rsid w:val="00FA417A"/>
    <w:rsid w:val="00FA4611"/>
    <w:rsid w:val="00FA4E57"/>
    <w:rsid w:val="00FA5086"/>
    <w:rsid w:val="00FA520A"/>
    <w:rsid w:val="00FA579C"/>
    <w:rsid w:val="00FA650F"/>
    <w:rsid w:val="00FA65CE"/>
    <w:rsid w:val="00FA6EA6"/>
    <w:rsid w:val="00FA7395"/>
    <w:rsid w:val="00FB1A75"/>
    <w:rsid w:val="00FB1AA3"/>
    <w:rsid w:val="00FB33D2"/>
    <w:rsid w:val="00FB3A04"/>
    <w:rsid w:val="00FB3AB7"/>
    <w:rsid w:val="00FB3EB4"/>
    <w:rsid w:val="00FB405A"/>
    <w:rsid w:val="00FB4551"/>
    <w:rsid w:val="00FB463A"/>
    <w:rsid w:val="00FB4F65"/>
    <w:rsid w:val="00FB4F86"/>
    <w:rsid w:val="00FB4FAE"/>
    <w:rsid w:val="00FB51EA"/>
    <w:rsid w:val="00FB6FAD"/>
    <w:rsid w:val="00FB7B45"/>
    <w:rsid w:val="00FB7F71"/>
    <w:rsid w:val="00FC025C"/>
    <w:rsid w:val="00FC207D"/>
    <w:rsid w:val="00FC20A3"/>
    <w:rsid w:val="00FC2386"/>
    <w:rsid w:val="00FC23EE"/>
    <w:rsid w:val="00FC2F07"/>
    <w:rsid w:val="00FC35A9"/>
    <w:rsid w:val="00FC4694"/>
    <w:rsid w:val="00FC4D36"/>
    <w:rsid w:val="00FC5949"/>
    <w:rsid w:val="00FC5DFA"/>
    <w:rsid w:val="00FC6337"/>
    <w:rsid w:val="00FC672E"/>
    <w:rsid w:val="00FC749A"/>
    <w:rsid w:val="00FC7947"/>
    <w:rsid w:val="00FC7F5E"/>
    <w:rsid w:val="00FD0696"/>
    <w:rsid w:val="00FD0BFD"/>
    <w:rsid w:val="00FD1C55"/>
    <w:rsid w:val="00FD26E2"/>
    <w:rsid w:val="00FD2857"/>
    <w:rsid w:val="00FD4059"/>
    <w:rsid w:val="00FD4A57"/>
    <w:rsid w:val="00FD4E69"/>
    <w:rsid w:val="00FD5419"/>
    <w:rsid w:val="00FD55D6"/>
    <w:rsid w:val="00FD6319"/>
    <w:rsid w:val="00FD6625"/>
    <w:rsid w:val="00FD7C4D"/>
    <w:rsid w:val="00FE1D9D"/>
    <w:rsid w:val="00FE255C"/>
    <w:rsid w:val="00FE2C11"/>
    <w:rsid w:val="00FE2FC2"/>
    <w:rsid w:val="00FE461D"/>
    <w:rsid w:val="00FE5046"/>
    <w:rsid w:val="00FE59DF"/>
    <w:rsid w:val="00FE5C06"/>
    <w:rsid w:val="00FE5FB3"/>
    <w:rsid w:val="00FE6448"/>
    <w:rsid w:val="00FE683E"/>
    <w:rsid w:val="00FE7354"/>
    <w:rsid w:val="00FE7EB2"/>
    <w:rsid w:val="00FF065D"/>
    <w:rsid w:val="00FF1A1F"/>
    <w:rsid w:val="00FF230B"/>
    <w:rsid w:val="00FF24AE"/>
    <w:rsid w:val="00FF3BB9"/>
    <w:rsid w:val="00FF4532"/>
    <w:rsid w:val="00FF4E2E"/>
    <w:rsid w:val="00FF568F"/>
    <w:rsid w:val="00FF5A8E"/>
    <w:rsid w:val="00FF628D"/>
    <w:rsid w:val="00FF7213"/>
    <w:rsid w:val="00FF7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324401"/>
    <w:pPr>
      <w:outlineLvl w:val="1"/>
    </w:pPr>
    <w:rPr>
      <w:b/>
      <w:bCs/>
      <w:sz w:val="22"/>
      <w:szCs w:val="22"/>
      <w:u w:val="none"/>
    </w:rPr>
  </w:style>
  <w:style w:type="paragraph" w:styleId="Heading3">
    <w:name w:val="heading 3"/>
    <w:basedOn w:val="Normal"/>
    <w:link w:val="Heading3Char"/>
    <w:uiPriority w:val="9"/>
    <w:qFormat/>
    <w:rsid w:val="00324401"/>
    <w:pPr>
      <w:numPr>
        <w:ilvl w:val="1"/>
        <w:numId w:val="4"/>
      </w:numPr>
      <w:spacing w:line="360" w:lineRule="auto"/>
      <w:ind w:left="714" w:hanging="357"/>
      <w:outlineLvl w:val="2"/>
    </w:pPr>
    <w:rPr>
      <w:rFonts w:ascii="Arial" w:hAnsi="Arial" w:cs="Arial"/>
      <w:color w:val="A84D9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324401"/>
    <w:rPr>
      <w:rFonts w:ascii="Arial" w:hAnsi="Arial" w:cs="Arial"/>
      <w:b/>
      <w:bCs/>
      <w:color w:val="A84D98"/>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paragraph" w:styleId="EndnoteText">
    <w:name w:val="endnote text"/>
    <w:basedOn w:val="Normal"/>
    <w:link w:val="EndnoteTextChar"/>
    <w:uiPriority w:val="99"/>
    <w:unhideWhenUsed/>
    <w:rsid w:val="00D65FA7"/>
    <w:pPr>
      <w:spacing w:after="0" w:line="240" w:lineRule="auto"/>
    </w:pPr>
    <w:rPr>
      <w:rFonts w:ascii="Arial" w:hAnsi="Arial" w:cs="Arial"/>
      <w:color w:val="222222"/>
      <w:kern w:val="2"/>
      <w:sz w:val="20"/>
      <w:szCs w:val="20"/>
      <w14:ligatures w14:val="standardContextual"/>
    </w:rPr>
  </w:style>
  <w:style w:type="character" w:customStyle="1" w:styleId="EndnoteTextChar">
    <w:name w:val="Endnote Text Char"/>
    <w:basedOn w:val="DefaultParagraphFont"/>
    <w:link w:val="EndnoteText"/>
    <w:uiPriority w:val="99"/>
    <w:rsid w:val="00D65FA7"/>
    <w:rPr>
      <w:rFonts w:ascii="Arial" w:hAnsi="Arial" w:cs="Arial"/>
      <w:color w:val="222222"/>
      <w:kern w:val="2"/>
      <w:sz w:val="20"/>
      <w:szCs w:val="20"/>
      <w14:ligatures w14:val="standardContextual"/>
    </w:rPr>
  </w:style>
  <w:style w:type="character" w:styleId="EndnoteReference">
    <w:name w:val="endnote reference"/>
    <w:basedOn w:val="DefaultParagraphFont"/>
    <w:uiPriority w:val="99"/>
    <w:semiHidden/>
    <w:unhideWhenUsed/>
    <w:rsid w:val="00D65FA7"/>
    <w:rPr>
      <w:vertAlign w:val="superscript"/>
    </w:rPr>
  </w:style>
  <w:style w:type="character" w:styleId="HTMLCite">
    <w:name w:val="HTML Cite"/>
    <w:basedOn w:val="DefaultParagraphFont"/>
    <w:uiPriority w:val="99"/>
    <w:semiHidden/>
    <w:unhideWhenUsed/>
    <w:rsid w:val="00F2056D"/>
    <w:rPr>
      <w:i/>
      <w:iCs/>
    </w:rPr>
  </w:style>
  <w:style w:type="character" w:customStyle="1" w:styleId="--fi-849">
    <w:name w:val="--fi-849"/>
    <w:basedOn w:val="DefaultParagraphFont"/>
    <w:rsid w:val="006F687C"/>
  </w:style>
  <w:style w:type="character" w:customStyle="1" w:styleId="anchor-text">
    <w:name w:val="anchor-text"/>
    <w:basedOn w:val="DefaultParagraphFont"/>
    <w:rsid w:val="000527D6"/>
  </w:style>
  <w:style w:type="character" w:customStyle="1" w:styleId="react-xocs-alternative-link">
    <w:name w:val="react-xocs-alternative-link"/>
    <w:basedOn w:val="DefaultParagraphFont"/>
    <w:rsid w:val="000527D6"/>
  </w:style>
  <w:style w:type="character" w:customStyle="1" w:styleId="given-name">
    <w:name w:val="given-name"/>
    <w:basedOn w:val="DefaultParagraphFont"/>
    <w:rsid w:val="000527D6"/>
  </w:style>
  <w:style w:type="character" w:customStyle="1" w:styleId="text">
    <w:name w:val="text"/>
    <w:basedOn w:val="DefaultParagraphFont"/>
    <w:rsid w:val="000527D6"/>
  </w:style>
  <w:style w:type="character" w:customStyle="1" w:styleId="author-ref">
    <w:name w:val="author-ref"/>
    <w:basedOn w:val="DefaultParagraphFont"/>
    <w:rsid w:val="000527D6"/>
  </w:style>
  <w:style w:type="character" w:customStyle="1" w:styleId="button-link-text">
    <w:name w:val="button-link-text"/>
    <w:basedOn w:val="DefaultParagraphFont"/>
    <w:rsid w:val="000527D6"/>
  </w:style>
  <w:style w:type="paragraph" w:customStyle="1" w:styleId="pf0">
    <w:name w:val="pf0"/>
    <w:basedOn w:val="Normal"/>
    <w:rsid w:val="00B344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34413"/>
    <w:rPr>
      <w:rFonts w:ascii="Segoe UI" w:hAnsi="Segoe UI" w:cs="Segoe UI" w:hint="default"/>
      <w:sz w:val="18"/>
      <w:szCs w:val="18"/>
    </w:rPr>
  </w:style>
  <w:style w:type="character" w:customStyle="1" w:styleId="--ik-1030">
    <w:name w:val="--ik-1030"/>
    <w:basedOn w:val="DefaultParagraphFont"/>
    <w:rsid w:val="00AD6401"/>
  </w:style>
  <w:style w:type="character" w:styleId="Strong">
    <w:name w:val="Strong"/>
    <w:basedOn w:val="DefaultParagraphFont"/>
    <w:uiPriority w:val="22"/>
    <w:qFormat/>
    <w:rsid w:val="00F82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5349">
      <w:bodyDiv w:val="1"/>
      <w:marLeft w:val="0"/>
      <w:marRight w:val="0"/>
      <w:marTop w:val="0"/>
      <w:marBottom w:val="0"/>
      <w:divBdr>
        <w:top w:val="none" w:sz="0" w:space="0" w:color="auto"/>
        <w:left w:val="none" w:sz="0" w:space="0" w:color="auto"/>
        <w:bottom w:val="none" w:sz="0" w:space="0" w:color="auto"/>
        <w:right w:val="none" w:sz="0" w:space="0" w:color="auto"/>
      </w:divBdr>
    </w:div>
    <w:div w:id="327557670">
      <w:bodyDiv w:val="1"/>
      <w:marLeft w:val="0"/>
      <w:marRight w:val="0"/>
      <w:marTop w:val="0"/>
      <w:marBottom w:val="0"/>
      <w:divBdr>
        <w:top w:val="none" w:sz="0" w:space="0" w:color="auto"/>
        <w:left w:val="none" w:sz="0" w:space="0" w:color="auto"/>
        <w:bottom w:val="none" w:sz="0" w:space="0" w:color="auto"/>
        <w:right w:val="none" w:sz="0" w:space="0" w:color="auto"/>
      </w:divBdr>
    </w:div>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388461353">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459542109">
      <w:bodyDiv w:val="1"/>
      <w:marLeft w:val="0"/>
      <w:marRight w:val="0"/>
      <w:marTop w:val="0"/>
      <w:marBottom w:val="0"/>
      <w:divBdr>
        <w:top w:val="none" w:sz="0" w:space="0" w:color="auto"/>
        <w:left w:val="none" w:sz="0" w:space="0" w:color="auto"/>
        <w:bottom w:val="none" w:sz="0" w:space="0" w:color="auto"/>
        <w:right w:val="none" w:sz="0" w:space="0" w:color="auto"/>
      </w:divBdr>
      <w:divsChild>
        <w:div w:id="279259807">
          <w:marLeft w:val="0"/>
          <w:marRight w:val="0"/>
          <w:marTop w:val="0"/>
          <w:marBottom w:val="0"/>
          <w:divBdr>
            <w:top w:val="none" w:sz="0" w:space="0" w:color="auto"/>
            <w:left w:val="none" w:sz="0" w:space="0" w:color="auto"/>
            <w:bottom w:val="none" w:sz="0" w:space="0" w:color="auto"/>
            <w:right w:val="none" w:sz="0" w:space="0" w:color="auto"/>
          </w:divBdr>
          <w:divsChild>
            <w:div w:id="1978220008">
              <w:marLeft w:val="0"/>
              <w:marRight w:val="0"/>
              <w:marTop w:val="0"/>
              <w:marBottom w:val="0"/>
              <w:divBdr>
                <w:top w:val="none" w:sz="0" w:space="0" w:color="auto"/>
                <w:left w:val="none" w:sz="0" w:space="0" w:color="auto"/>
                <w:bottom w:val="none" w:sz="0" w:space="0" w:color="auto"/>
                <w:right w:val="none" w:sz="0" w:space="0" w:color="auto"/>
              </w:divBdr>
              <w:divsChild>
                <w:div w:id="21191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68360">
      <w:bodyDiv w:val="1"/>
      <w:marLeft w:val="0"/>
      <w:marRight w:val="0"/>
      <w:marTop w:val="0"/>
      <w:marBottom w:val="0"/>
      <w:divBdr>
        <w:top w:val="none" w:sz="0" w:space="0" w:color="auto"/>
        <w:left w:val="none" w:sz="0" w:space="0" w:color="auto"/>
        <w:bottom w:val="none" w:sz="0" w:space="0" w:color="auto"/>
        <w:right w:val="none" w:sz="0" w:space="0" w:color="auto"/>
      </w:divBdr>
      <w:divsChild>
        <w:div w:id="484857346">
          <w:marLeft w:val="0"/>
          <w:marRight w:val="0"/>
          <w:marTop w:val="0"/>
          <w:marBottom w:val="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760026075">
      <w:bodyDiv w:val="1"/>
      <w:marLeft w:val="0"/>
      <w:marRight w:val="0"/>
      <w:marTop w:val="0"/>
      <w:marBottom w:val="0"/>
      <w:divBdr>
        <w:top w:val="none" w:sz="0" w:space="0" w:color="auto"/>
        <w:left w:val="none" w:sz="0" w:space="0" w:color="auto"/>
        <w:bottom w:val="none" w:sz="0" w:space="0" w:color="auto"/>
        <w:right w:val="none" w:sz="0" w:space="0" w:color="auto"/>
      </w:divBdr>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970553523">
      <w:bodyDiv w:val="1"/>
      <w:marLeft w:val="0"/>
      <w:marRight w:val="0"/>
      <w:marTop w:val="0"/>
      <w:marBottom w:val="0"/>
      <w:divBdr>
        <w:top w:val="none" w:sz="0" w:space="0" w:color="auto"/>
        <w:left w:val="none" w:sz="0" w:space="0" w:color="auto"/>
        <w:bottom w:val="none" w:sz="0" w:space="0" w:color="auto"/>
        <w:right w:val="none" w:sz="0" w:space="0" w:color="auto"/>
      </w:divBdr>
    </w:div>
    <w:div w:id="1016732336">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059943488">
      <w:bodyDiv w:val="1"/>
      <w:marLeft w:val="0"/>
      <w:marRight w:val="0"/>
      <w:marTop w:val="0"/>
      <w:marBottom w:val="0"/>
      <w:divBdr>
        <w:top w:val="none" w:sz="0" w:space="0" w:color="auto"/>
        <w:left w:val="none" w:sz="0" w:space="0" w:color="auto"/>
        <w:bottom w:val="none" w:sz="0" w:space="0" w:color="auto"/>
        <w:right w:val="none" w:sz="0" w:space="0" w:color="auto"/>
      </w:divBdr>
    </w:div>
    <w:div w:id="1126123893">
      <w:bodyDiv w:val="1"/>
      <w:marLeft w:val="0"/>
      <w:marRight w:val="0"/>
      <w:marTop w:val="0"/>
      <w:marBottom w:val="0"/>
      <w:divBdr>
        <w:top w:val="none" w:sz="0" w:space="0" w:color="auto"/>
        <w:left w:val="none" w:sz="0" w:space="0" w:color="auto"/>
        <w:bottom w:val="none" w:sz="0" w:space="0" w:color="auto"/>
        <w:right w:val="none" w:sz="0" w:space="0" w:color="auto"/>
      </w:divBdr>
      <w:divsChild>
        <w:div w:id="26565046">
          <w:marLeft w:val="0"/>
          <w:marRight w:val="0"/>
          <w:marTop w:val="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288044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518348096">
      <w:bodyDiv w:val="1"/>
      <w:marLeft w:val="0"/>
      <w:marRight w:val="0"/>
      <w:marTop w:val="0"/>
      <w:marBottom w:val="0"/>
      <w:divBdr>
        <w:top w:val="none" w:sz="0" w:space="0" w:color="auto"/>
        <w:left w:val="none" w:sz="0" w:space="0" w:color="auto"/>
        <w:bottom w:val="none" w:sz="0" w:space="0" w:color="auto"/>
        <w:right w:val="none" w:sz="0" w:space="0" w:color="auto"/>
      </w:divBdr>
    </w:div>
    <w:div w:id="1613169162">
      <w:bodyDiv w:val="1"/>
      <w:marLeft w:val="0"/>
      <w:marRight w:val="0"/>
      <w:marTop w:val="0"/>
      <w:marBottom w:val="0"/>
      <w:divBdr>
        <w:top w:val="none" w:sz="0" w:space="0" w:color="auto"/>
        <w:left w:val="none" w:sz="0" w:space="0" w:color="auto"/>
        <w:bottom w:val="none" w:sz="0" w:space="0" w:color="auto"/>
        <w:right w:val="none" w:sz="0" w:space="0" w:color="auto"/>
      </w:divBdr>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794447681">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 w:id="18183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cal.gov.uk/our-support/partners-care-and-health/adult-social-care-workforce/direct-payments-guide-principal" TargetMode="External"/><Relationship Id="rId18" Type="http://schemas.openxmlformats.org/officeDocument/2006/relationships/hyperlink" Target="https://www.scie.org.uk" TargetMode="External"/><Relationship Id="rId3" Type="http://schemas.openxmlformats.org/officeDocument/2006/relationships/customXml" Target="../customXml/item3.xml"/><Relationship Id="rId21" Type="http://schemas.openxmlformats.org/officeDocument/2006/relationships/hyperlink" Target="https://thinklocalactpersonal.org.uk/news/leadership-for-empowered-and-healthy-communities-programme/" TargetMode="External"/><Relationship Id="rId7" Type="http://schemas.openxmlformats.org/officeDocument/2006/relationships/settings" Target="settings.xml"/><Relationship Id="rId12" Type="http://schemas.openxmlformats.org/officeDocument/2006/relationships/hyperlink" Target="https://doi.org/10.1093/bjsw/bcv023" TargetMode="External"/><Relationship Id="rId17" Type="http://schemas.openxmlformats.org/officeDocument/2006/relationships/hyperlink" Target="https://www.nhs.uk/conditions/social-care-and-support-guide/money-work-and-benefits/personal-budge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entreforcare.ac.uk/commentary/2024/04/why-is-the-take-up-of-direct-payments-so-low/" TargetMode="External"/><Relationship Id="rId20" Type="http://schemas.openxmlformats.org/officeDocument/2006/relationships/hyperlink" Target="https://www.sci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315993/Care-Act-Guidance.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ingsfund.org.uk/insight-and-analysis/reports/wigan-dea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ci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cal.gov.uk/case-studies/developing-cultural-strategy-through-co-production-model-leeds-city-counci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246c91f-ae64-48a8-a946-abb5de09178e">
      <UserInfo>
        <DisplayName/>
        <AccountId xsi:nil="true"/>
        <AccountType/>
      </UserInfo>
    </SharedWithUsers>
    <lcf76f155ced4ddcb4097134ff3c332f xmlns="932e182d-f828-49d8-b225-823d95a6369c">
      <Terms xmlns="http://schemas.microsoft.com/office/infopath/2007/PartnerControls"/>
    </lcf76f155ced4ddcb4097134ff3c332f>
    <TaxCatchAll xmlns="a246c91f-ae64-48a8-a946-abb5de0917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32B5D162DEB743A6DCB42E4D80BDAB" ma:contentTypeVersion="18" ma:contentTypeDescription="Create a new document." ma:contentTypeScope="" ma:versionID="c8a516aea972d7582157239b4c05d4fc">
  <xsd:schema xmlns:xsd="http://www.w3.org/2001/XMLSchema" xmlns:xs="http://www.w3.org/2001/XMLSchema" xmlns:p="http://schemas.microsoft.com/office/2006/metadata/properties" xmlns:ns2="932e182d-f828-49d8-b225-823d95a6369c" xmlns:ns3="a246c91f-ae64-48a8-a946-abb5de09178e" targetNamespace="http://schemas.microsoft.com/office/2006/metadata/properties" ma:root="true" ma:fieldsID="a1bf0341449d789ac86270154430016c" ns2:_="" ns3:_="">
    <xsd:import namespace="932e182d-f828-49d8-b225-823d95a6369c"/>
    <xsd:import namespace="a246c91f-ae64-48a8-a946-abb5de091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e182d-f828-49d8-b225-823d95a63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6c91f-ae64-48a8-a946-abb5de091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cbaec-dac5-40a4-91c0-7120ec1e53a7}" ma:internalName="TaxCatchAll" ma:showField="CatchAllData" ma:web="a246c91f-ae64-48a8-a946-abb5de091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2.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a246c91f-ae64-48a8-a946-abb5de09178e"/>
    <ds:schemaRef ds:uri="932e182d-f828-49d8-b225-823d95a6369c"/>
  </ds:schemaRefs>
</ds:datastoreItem>
</file>

<file path=customXml/itemProps3.xml><?xml version="1.0" encoding="utf-8"?>
<ds:datastoreItem xmlns:ds="http://schemas.openxmlformats.org/officeDocument/2006/customXml" ds:itemID="{7AC439D5-CA91-4B97-B265-E40BF30C5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e182d-f828-49d8-b225-823d95a6369c"/>
    <ds:schemaRef ds:uri="a246c91f-ae64-48a8-a946-abb5de0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7CB64-2C92-4F27-B394-359644F108E0}">
  <ds:schemaRefs>
    <ds:schemaRef ds:uri="http://schemas.microsoft.com/sharepoint/v3/contenttype/forms"/>
  </ds:schemaRefs>
</ds:datastoreItem>
</file>

<file path=docMetadata/LabelInfo.xml><?xml version="1.0" encoding="utf-8"?>
<clbl:labelList xmlns:clbl="http://schemas.microsoft.com/office/2020/mipLabelMetadata">
  <clbl:label id="{b024cacf-dede-4241-a15c-3c97d553e9f3}" enabled="0" method="" siteId="{b024cacf-dede-4241-a15c-3c97d553e9f3}" removed="1"/>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22</Pages>
  <Words>6977</Words>
  <Characters>39771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Munpreet K Flora</cp:lastModifiedBy>
  <cp:revision>11</cp:revision>
  <dcterms:created xsi:type="dcterms:W3CDTF">2025-08-28T12:25:00Z</dcterms:created>
  <dcterms:modified xsi:type="dcterms:W3CDTF">2026-01-28T13:35:00Z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0x010100AFD0E22D8B37CF45BFB7B458CC832A07</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