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6966D2" w14:textId="4EEFFCDF" w:rsidR="00324401" w:rsidRPr="00F85C64" w:rsidRDefault="00324401" w:rsidP="00615E6A">
      <w:pPr>
        <w:pStyle w:val="Title"/>
        <w:spacing w:after="0"/>
      </w:pPr>
    </w:p>
    <w:p w14:paraId="1D2ED5A0" w14:textId="0A1A898F" w:rsidR="00324401" w:rsidRPr="00F85C64" w:rsidRDefault="00324401" w:rsidP="00615E6A">
      <w:pPr>
        <w:pStyle w:val="Title"/>
        <w:spacing w:after="0"/>
      </w:pPr>
    </w:p>
    <w:p w14:paraId="52D1889B" w14:textId="29C27155" w:rsidR="00324401" w:rsidRPr="00F85C64" w:rsidRDefault="00324401" w:rsidP="00615E6A">
      <w:pPr>
        <w:pStyle w:val="Title"/>
        <w:spacing w:after="0"/>
      </w:pPr>
    </w:p>
    <w:p w14:paraId="0333E26B" w14:textId="2E692766" w:rsidR="00324401" w:rsidRPr="00F85C64" w:rsidRDefault="00324401" w:rsidP="00615E6A">
      <w:pPr>
        <w:pStyle w:val="Title"/>
        <w:spacing w:after="0"/>
      </w:pPr>
    </w:p>
    <w:p w14:paraId="28D4FCD3" w14:textId="0F4FB8DA" w:rsidR="00324401" w:rsidRPr="00F85C64" w:rsidRDefault="00324401" w:rsidP="00615E6A">
      <w:pPr>
        <w:pStyle w:val="Title"/>
        <w:spacing w:after="0"/>
      </w:pPr>
    </w:p>
    <w:p w14:paraId="007C9C1D" w14:textId="0B276A80" w:rsidR="00AD24A4" w:rsidRPr="00AD24A4" w:rsidRDefault="00AD24A4" w:rsidP="00AD24A4">
      <w:pPr>
        <w:spacing w:after="0" w:line="360" w:lineRule="auto"/>
        <w:jc w:val="center"/>
        <w:rPr>
          <w:rFonts w:ascii="Arial Black" w:hAnsi="Arial Black" w:cs="Arial"/>
          <w:b/>
          <w:bCs/>
          <w:color w:val="A84D98"/>
          <w:sz w:val="40"/>
          <w:szCs w:val="40"/>
        </w:rPr>
      </w:pPr>
      <w:r>
        <w:rPr>
          <w:rFonts w:ascii="Arial Black" w:hAnsi="Arial Black" w:cs="Arial"/>
          <w:b/>
          <w:bCs/>
          <w:color w:val="A84D98"/>
          <w:sz w:val="40"/>
          <w:szCs w:val="40"/>
        </w:rPr>
        <w:t xml:space="preserve">Building lived experience into strategic planning - </w:t>
      </w:r>
      <w:r w:rsidRPr="00AD24A4">
        <w:rPr>
          <w:rFonts w:ascii="Arial Black" w:hAnsi="Arial Black" w:cs="Arial"/>
          <w:b/>
          <w:bCs/>
          <w:color w:val="A84D98"/>
          <w:sz w:val="40"/>
          <w:szCs w:val="40"/>
        </w:rPr>
        <w:t>Care Leavers’ transition(s) into adulthood</w:t>
      </w:r>
    </w:p>
    <w:p w14:paraId="34781ECD" w14:textId="77777777" w:rsidR="00AD24A4" w:rsidRPr="00AD24A4" w:rsidRDefault="00AD24A4" w:rsidP="00AD24A4">
      <w:pPr>
        <w:spacing w:after="0" w:line="360" w:lineRule="auto"/>
        <w:jc w:val="center"/>
        <w:rPr>
          <w:rFonts w:ascii="Arial Black" w:hAnsi="Arial Black" w:cs="Arial"/>
          <w:b/>
          <w:bCs/>
          <w:color w:val="A84D98"/>
          <w:sz w:val="40"/>
          <w:szCs w:val="40"/>
        </w:rPr>
      </w:pPr>
      <w:r w:rsidRPr="00AD24A4">
        <w:rPr>
          <w:rFonts w:ascii="Arial Black" w:hAnsi="Arial Black" w:cs="Arial"/>
          <w:b/>
          <w:bCs/>
          <w:color w:val="A84D98"/>
          <w:sz w:val="40"/>
          <w:szCs w:val="40"/>
        </w:rPr>
        <w:t>Co-Production Report and Learning</w:t>
      </w:r>
    </w:p>
    <w:p w14:paraId="7091D123" w14:textId="1E16B066" w:rsidR="00AD24A4" w:rsidRPr="00AD24A4" w:rsidRDefault="00AD24A4" w:rsidP="00AD24A4">
      <w:pPr>
        <w:spacing w:after="0" w:line="360" w:lineRule="auto"/>
        <w:jc w:val="center"/>
        <w:rPr>
          <w:rFonts w:ascii="Arial" w:hAnsi="Arial" w:cs="Arial"/>
          <w:sz w:val="24"/>
          <w:szCs w:val="24"/>
        </w:rPr>
      </w:pPr>
      <w:r w:rsidRPr="00AD24A4">
        <w:rPr>
          <w:rFonts w:ascii="Arial" w:hAnsi="Arial" w:cs="Arial"/>
          <w:sz w:val="24"/>
          <w:szCs w:val="24"/>
        </w:rPr>
        <w:t xml:space="preserve">IMPAC, National House Project, Coventry City and Fife Councils </w:t>
      </w:r>
    </w:p>
    <w:p w14:paraId="6DC78CF9" w14:textId="4F9B2D95" w:rsidR="00BB6DAA" w:rsidRDefault="00615E6A" w:rsidP="00615E6A">
      <w:pPr>
        <w:spacing w:after="0" w:line="360" w:lineRule="auto"/>
        <w:jc w:val="center"/>
        <w:rPr>
          <w:rFonts w:ascii="Arial" w:hAnsi="Arial" w:cs="Arial"/>
          <w:sz w:val="24"/>
          <w:szCs w:val="24"/>
        </w:rPr>
      </w:pPr>
      <w:r>
        <w:rPr>
          <w:rFonts w:ascii="Arial" w:hAnsi="Arial" w:cs="Arial"/>
          <w:sz w:val="24"/>
          <w:szCs w:val="24"/>
        </w:rPr>
        <w:t>Rhiann McLean – Fife, Scotland</w:t>
      </w:r>
    </w:p>
    <w:p w14:paraId="7736F53D" w14:textId="1918FC5B" w:rsidR="00615E6A" w:rsidRPr="00F85C64" w:rsidRDefault="00615E6A" w:rsidP="00615E6A">
      <w:pPr>
        <w:spacing w:after="0" w:line="360" w:lineRule="auto"/>
        <w:jc w:val="center"/>
        <w:rPr>
          <w:rFonts w:ascii="Arial" w:hAnsi="Arial" w:cs="Arial"/>
          <w:sz w:val="24"/>
          <w:szCs w:val="24"/>
        </w:rPr>
      </w:pPr>
      <w:r>
        <w:rPr>
          <w:rFonts w:ascii="Arial" w:hAnsi="Arial" w:cs="Arial"/>
          <w:sz w:val="24"/>
          <w:szCs w:val="24"/>
        </w:rPr>
        <w:t>Amanda Andrews – Coventry, England</w:t>
      </w:r>
    </w:p>
    <w:p w14:paraId="23574C1D" w14:textId="00794B95" w:rsidR="006F2437" w:rsidRPr="00F85C64" w:rsidRDefault="006F2437" w:rsidP="006F2437">
      <w:pPr>
        <w:spacing w:after="0"/>
        <w:rPr>
          <w:rFonts w:ascii="Arial" w:hAnsi="Arial" w:cs="Arial"/>
          <w:b/>
          <w:bCs/>
          <w:sz w:val="40"/>
          <w:szCs w:val="40"/>
        </w:rPr>
      </w:pPr>
      <w:r>
        <w:rPr>
          <w:rFonts w:ascii="Arial" w:hAnsi="Arial" w:cs="Arial"/>
          <w:b/>
          <w:bCs/>
          <w:noProof/>
          <w:sz w:val="40"/>
          <w:szCs w:val="40"/>
        </w:rPr>
        <w:drawing>
          <wp:anchor distT="0" distB="0" distL="114300" distR="114300" simplePos="0" relativeHeight="251658240" behindDoc="0" locked="0" layoutInCell="1" allowOverlap="1" wp14:anchorId="4E835BC5" wp14:editId="0AEFB512">
            <wp:simplePos x="0" y="0"/>
            <wp:positionH relativeFrom="margin">
              <wp:posOffset>2706370</wp:posOffset>
            </wp:positionH>
            <wp:positionV relativeFrom="paragraph">
              <wp:posOffset>81634</wp:posOffset>
            </wp:positionV>
            <wp:extent cx="2253615" cy="925195"/>
            <wp:effectExtent l="0" t="0" r="0" b="8255"/>
            <wp:wrapSquare wrapText="bothSides"/>
            <wp:docPr id="506387862" name="Picture 2" descr="A logo for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6387862" name="Picture 2" descr="A logo for a company&#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253615" cy="92519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0" locked="0" layoutInCell="1" allowOverlap="1" wp14:anchorId="49883BC0" wp14:editId="48554974">
            <wp:simplePos x="0" y="0"/>
            <wp:positionH relativeFrom="column">
              <wp:posOffset>978047</wp:posOffset>
            </wp:positionH>
            <wp:positionV relativeFrom="paragraph">
              <wp:posOffset>251814</wp:posOffset>
            </wp:positionV>
            <wp:extent cx="1670050" cy="677545"/>
            <wp:effectExtent l="0" t="0" r="6350" b="8255"/>
            <wp:wrapSquare wrapText="bothSides"/>
            <wp:docPr id="1363024188" name="Picture 1" descr="A close-up of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3024188" name="Picture 1" descr="A close-up of a black background&#10;&#10;AI-generated content may be incorrec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70050" cy="677545"/>
                    </a:xfrm>
                    <a:prstGeom prst="rect">
                      <a:avLst/>
                    </a:prstGeom>
                    <a:noFill/>
                  </pic:spPr>
                </pic:pic>
              </a:graphicData>
            </a:graphic>
            <wp14:sizeRelH relativeFrom="margin">
              <wp14:pctWidth>0</wp14:pctWidth>
            </wp14:sizeRelH>
            <wp14:sizeRelV relativeFrom="margin">
              <wp14:pctHeight>0</wp14:pctHeight>
            </wp14:sizeRelV>
          </wp:anchor>
        </w:drawing>
      </w:r>
      <w:r w:rsidR="00DC2FDA" w:rsidRPr="00F85C64">
        <w:rPr>
          <w:rFonts w:ascii="Arial" w:hAnsi="Arial" w:cs="Arial"/>
          <w:b/>
          <w:bCs/>
          <w:sz w:val="40"/>
          <w:szCs w:val="40"/>
        </w:rPr>
        <w:br w:type="page"/>
      </w:r>
    </w:p>
    <w:p w14:paraId="5CB62475" w14:textId="0CB0A114" w:rsidR="66722E48" w:rsidRPr="00AD24A4" w:rsidRDefault="00AD24A4" w:rsidP="00615E6A">
      <w:pPr>
        <w:pStyle w:val="Heading1"/>
        <w:spacing w:after="0"/>
      </w:pPr>
      <w:r w:rsidRPr="00AD24A4">
        <w:lastRenderedPageBreak/>
        <w:t>A brief introduction to the Care Leavers Transitions into Adulthood IMPACT Demonstrator</w:t>
      </w:r>
    </w:p>
    <w:p w14:paraId="41F3D0C3" w14:textId="77777777" w:rsidR="00AD24A4" w:rsidRDefault="00AD24A4" w:rsidP="00AD24A4">
      <w:pPr>
        <w:spacing w:line="240" w:lineRule="auto"/>
        <w:rPr>
          <w:rFonts w:ascii="Arial" w:hAnsi="Arial" w:cs="Arial"/>
        </w:rPr>
      </w:pPr>
      <w:r w:rsidRPr="007D706B">
        <w:rPr>
          <w:rFonts w:ascii="Arial" w:hAnsi="Arial" w:cs="Arial"/>
        </w:rPr>
        <w:t>Across 2024-2025, IMPACT (</w:t>
      </w:r>
      <w:hyperlink r:id="rId13">
        <w:r w:rsidRPr="007D706B">
          <w:rPr>
            <w:rStyle w:val="Hyperlink"/>
            <w:rFonts w:ascii="Arial" w:hAnsi="Arial" w:cs="Arial"/>
            <w:color w:val="auto"/>
          </w:rPr>
          <w:t>Improving Adult Care Together</w:t>
        </w:r>
      </w:hyperlink>
      <w:r w:rsidRPr="007D706B">
        <w:rPr>
          <w:rFonts w:ascii="Arial" w:hAnsi="Arial" w:cs="Arial"/>
        </w:rPr>
        <w:t xml:space="preserve">) collaborated with the National House Project (NHP) and Coventry City and Fife Councils on a two-site </w:t>
      </w:r>
      <w:hyperlink r:id="rId14">
        <w:r w:rsidRPr="007D706B">
          <w:rPr>
            <w:rStyle w:val="Hyperlink"/>
            <w:rFonts w:ascii="Arial" w:hAnsi="Arial" w:cs="Arial"/>
          </w:rPr>
          <w:t>Demonstrator project</w:t>
        </w:r>
      </w:hyperlink>
      <w:r w:rsidRPr="007D706B">
        <w:rPr>
          <w:rFonts w:ascii="Arial" w:hAnsi="Arial" w:cs="Arial"/>
        </w:rPr>
        <w:t>. This project was focused on the experiences of care experienced individuals as they move into adulthood. The project addressed complex issues of inequality, prevention and how we support people who may not meet eligibility criteria for adult social care.  The Demonstrator focused on answering the question: how can we best support care experienced adults (25+) to access the right support at the right time, before they reach a point of crisis? Adulthood is a difficult concept to define, as social, legal and individual definitions may not always align. The transition to adulthood for young people and adults with care experience is often ‘accelerated and compressed’ as young people with care experience take on responsibilities of adulthood at an earlier age when compared with their peers who often remain living at home well into their twenties (Stein, 2012, p400). Furthermore, the withdrawal of state support has been referred to as a ‘care cliff’, with care leavers expected to live independently (Palmer et al, 2022) and enter ‘instant adulthood’ without adequate support and guidance (Atkinson and Hyde, 2019). In England and Scotland, the ‘care cliff’ happens at 18 when young people leave the formal care system. In England the withdrawal of mandatory support from Personal Advisors happens at 21, although people can ‘opt in’ to support until they are 25. In Scotland Aftercare Services are available up to the age of 26 years old. These include help with housing, education and employment.  For the purposes of this project, we considered the needs of adults over 25 in Coventry and 26 in Fife but engaged with a range of adults and young people with care experience to inform our understanding of how needs may evolve and change over time.</w:t>
      </w:r>
    </w:p>
    <w:p w14:paraId="597CBC07" w14:textId="078ECBEB" w:rsidR="00AD24A4" w:rsidRDefault="00AD24A4" w:rsidP="00AD24A4">
      <w:pPr>
        <w:pStyle w:val="Heading1"/>
        <w:spacing w:after="0"/>
      </w:pPr>
      <w:r>
        <w:t>What do we mean by co-production?</w:t>
      </w:r>
    </w:p>
    <w:p w14:paraId="3F381B95" w14:textId="77777777" w:rsidR="00AD24A4" w:rsidRPr="007D706B" w:rsidRDefault="00AD24A4" w:rsidP="00AD24A4">
      <w:pPr>
        <w:spacing w:after="0" w:line="240" w:lineRule="auto"/>
        <w:rPr>
          <w:rFonts w:ascii="Arial" w:hAnsi="Arial" w:cs="Arial"/>
        </w:rPr>
      </w:pPr>
      <w:r w:rsidRPr="007D706B">
        <w:rPr>
          <w:rFonts w:ascii="Arial" w:hAnsi="Arial" w:cs="Arial"/>
        </w:rPr>
        <w:t xml:space="preserve">There is a lack of consensus on what co-production constitutes, with no prescribed methods to operationalise it (Flinders et al, 2016). It does, however, require a shift in power to reformulate relations between people who provide services and people who use them (Scourfield, 2014). Characterised by voice, reciprocity and mutuality (Heaton et al, 2015), co-production services are more likely to meet the needs of users (Needham and Carr, 2009). </w:t>
      </w:r>
    </w:p>
    <w:p w14:paraId="6686E690" w14:textId="77777777" w:rsidR="00AD24A4" w:rsidRPr="007D706B" w:rsidRDefault="00AD24A4" w:rsidP="00AD24A4">
      <w:pPr>
        <w:spacing w:after="0" w:line="240" w:lineRule="auto"/>
        <w:rPr>
          <w:rFonts w:ascii="Arial" w:hAnsi="Arial" w:cs="Arial"/>
        </w:rPr>
      </w:pPr>
    </w:p>
    <w:p w14:paraId="60480E6F" w14:textId="77777777" w:rsidR="00AD24A4" w:rsidRPr="007D706B" w:rsidRDefault="00AD24A4" w:rsidP="00AD24A4">
      <w:pPr>
        <w:spacing w:after="0" w:line="240" w:lineRule="auto"/>
        <w:rPr>
          <w:rFonts w:ascii="Arial" w:hAnsi="Arial" w:cs="Arial"/>
        </w:rPr>
      </w:pPr>
      <w:r w:rsidRPr="007D706B">
        <w:rPr>
          <w:rFonts w:ascii="Arial" w:hAnsi="Arial" w:cs="Arial"/>
        </w:rPr>
        <w:t xml:space="preserve">For </w:t>
      </w:r>
      <w:r w:rsidRPr="007D706B">
        <w:rPr>
          <w:rFonts w:ascii="Arial" w:hAnsi="Arial" w:cs="Arial"/>
          <w:b/>
          <w:bCs/>
        </w:rPr>
        <w:t>IMPACT</w:t>
      </w:r>
      <w:r w:rsidRPr="007D706B">
        <w:rPr>
          <w:rFonts w:ascii="Arial" w:hAnsi="Arial" w:cs="Arial"/>
          <w:b/>
          <w:bCs/>
          <w:i/>
          <w:iCs/>
        </w:rPr>
        <w:t>, co-production in social care involves ‘people who draw on care and support and carers working with professionals in equal partnership towards shared goals’ (IMPACT, 2024)</w:t>
      </w:r>
      <w:r w:rsidRPr="007D706B">
        <w:rPr>
          <w:rFonts w:ascii="Arial" w:hAnsi="Arial" w:cs="Arial"/>
        </w:rPr>
        <w:t xml:space="preserve">. </w:t>
      </w:r>
    </w:p>
    <w:p w14:paraId="475E9649" w14:textId="77777777" w:rsidR="00AD24A4" w:rsidRPr="007D706B" w:rsidRDefault="00AD24A4" w:rsidP="00AD24A4">
      <w:pPr>
        <w:spacing w:after="0" w:line="240" w:lineRule="auto"/>
        <w:rPr>
          <w:rFonts w:ascii="Arial" w:hAnsi="Arial" w:cs="Arial"/>
        </w:rPr>
      </w:pPr>
    </w:p>
    <w:p w14:paraId="12B83FD2" w14:textId="77777777" w:rsidR="00AD24A4" w:rsidRDefault="00AD24A4" w:rsidP="00AD24A4">
      <w:pPr>
        <w:spacing w:after="0" w:line="240" w:lineRule="auto"/>
        <w:rPr>
          <w:rFonts w:ascii="Arial" w:hAnsi="Arial" w:cs="Arial"/>
        </w:rPr>
      </w:pPr>
      <w:r w:rsidRPr="007D706B">
        <w:rPr>
          <w:rFonts w:ascii="Arial" w:hAnsi="Arial" w:cs="Arial"/>
        </w:rPr>
        <w:t xml:space="preserve">This project engaged with a wide range of care experienced individuals and practitioners from across health, social care, housing and third sector but for the purposes of this paper we focus on the co-production which involved young people and adults with care experience. </w:t>
      </w:r>
    </w:p>
    <w:p w14:paraId="01F50C32" w14:textId="77777777" w:rsidR="00AD24A4" w:rsidRPr="007D706B" w:rsidRDefault="00AD24A4" w:rsidP="00AD24A4">
      <w:pPr>
        <w:spacing w:after="0" w:line="240" w:lineRule="auto"/>
        <w:rPr>
          <w:rFonts w:ascii="Arial" w:hAnsi="Arial" w:cs="Arial"/>
        </w:rPr>
      </w:pPr>
    </w:p>
    <w:p w14:paraId="0B735783" w14:textId="77777777" w:rsidR="00AD24A4" w:rsidRPr="007D706B" w:rsidRDefault="00AD24A4" w:rsidP="00AD24A4">
      <w:pPr>
        <w:pStyle w:val="Heading1"/>
        <w:spacing w:after="0"/>
      </w:pPr>
      <w:r w:rsidRPr="007D706B">
        <w:t>What did we do together?</w:t>
      </w:r>
    </w:p>
    <w:p w14:paraId="62F0E19A" w14:textId="77777777" w:rsidR="00AD24A4" w:rsidRPr="007D706B" w:rsidRDefault="00AD24A4" w:rsidP="00AD24A4">
      <w:pPr>
        <w:pStyle w:val="ListParagraph"/>
        <w:numPr>
          <w:ilvl w:val="0"/>
          <w:numId w:val="29"/>
        </w:numPr>
        <w:spacing w:after="0" w:line="240" w:lineRule="auto"/>
        <w:rPr>
          <w:rFonts w:ascii="Arial" w:hAnsi="Arial" w:cs="Arial"/>
        </w:rPr>
      </w:pPr>
      <w:r w:rsidRPr="007D706B">
        <w:rPr>
          <w:rFonts w:ascii="Arial" w:hAnsi="Arial" w:cs="Arial"/>
        </w:rPr>
        <w:t>Three co-production sessions with participants from NHP’s original Stoke LHP cohort (House Project 10</w:t>
      </w:r>
      <w:proofErr w:type="gramStart"/>
      <w:r w:rsidRPr="007D706B">
        <w:rPr>
          <w:rFonts w:ascii="Arial" w:hAnsi="Arial" w:cs="Arial"/>
        </w:rPr>
        <w:t>),and</w:t>
      </w:r>
      <w:proofErr w:type="gramEnd"/>
      <w:r w:rsidRPr="007D706B">
        <w:rPr>
          <w:rFonts w:ascii="Arial" w:hAnsi="Arial" w:cs="Arial"/>
        </w:rPr>
        <w:t xml:space="preserve"> with CLNM alumni over the age of 21.  These participants were identified by NHP as stakeholders with the most relevant lived experience of transitioning into adulthood</w:t>
      </w:r>
    </w:p>
    <w:p w14:paraId="4E0BC6CF" w14:textId="77777777" w:rsidR="00AD24A4" w:rsidRPr="007D706B" w:rsidRDefault="00AD24A4" w:rsidP="00AD24A4">
      <w:pPr>
        <w:pStyle w:val="ListParagraph"/>
        <w:numPr>
          <w:ilvl w:val="0"/>
          <w:numId w:val="29"/>
        </w:numPr>
        <w:spacing w:after="0" w:line="240" w:lineRule="auto"/>
        <w:rPr>
          <w:rFonts w:ascii="Arial" w:hAnsi="Arial" w:cs="Arial"/>
        </w:rPr>
      </w:pPr>
      <w:r w:rsidRPr="007D706B">
        <w:rPr>
          <w:rFonts w:ascii="Arial" w:hAnsi="Arial" w:cs="Arial"/>
        </w:rPr>
        <w:t xml:space="preserve">Six co-production workshops in Coventry between with the LHP, the Care Leavers Forum, hosted by Coventry’s Through Care team lead and a group of personal assistants. Outcomes informed Coventry’s first cross sector strategic workshop for care leavers. Three co-production meetings in Coventry involved care experienced individuals </w:t>
      </w:r>
      <w:r w:rsidRPr="007D706B">
        <w:rPr>
          <w:rFonts w:ascii="Arial" w:hAnsi="Arial" w:cs="Arial"/>
        </w:rPr>
        <w:lastRenderedPageBreak/>
        <w:t>and graduates from the LHP.  Two co-production meetings were for the Coventry Care Leavers Forum, which is open to any care experienced individual up to the age of 25.</w:t>
      </w:r>
    </w:p>
    <w:p w14:paraId="34D6C253" w14:textId="77777777" w:rsidR="00AD24A4" w:rsidRDefault="00AD24A4" w:rsidP="00AD24A4">
      <w:pPr>
        <w:pStyle w:val="ListParagraph"/>
        <w:numPr>
          <w:ilvl w:val="0"/>
          <w:numId w:val="29"/>
        </w:numPr>
        <w:spacing w:after="0" w:line="240" w:lineRule="auto"/>
        <w:rPr>
          <w:rFonts w:ascii="Arial" w:hAnsi="Arial" w:cs="Arial"/>
        </w:rPr>
      </w:pPr>
      <w:r w:rsidRPr="007D706B">
        <w:rPr>
          <w:rFonts w:ascii="Arial" w:hAnsi="Arial" w:cs="Arial"/>
        </w:rPr>
        <w:t xml:space="preserve">Two co-production sessions and asset mapping with Fife LHP. Outcomes informing the development of an apprenticeship post for adult care leavers and the introduction of </w:t>
      </w:r>
      <w:hyperlink r:id="rId15" w:history="1">
        <w:r w:rsidRPr="007D706B">
          <w:rPr>
            <w:rStyle w:val="Hyperlink"/>
            <w:rFonts w:ascii="Arial" w:hAnsi="Arial" w:cs="Arial"/>
          </w:rPr>
          <w:t>ALISS (A Local Information System for Scotland).</w:t>
        </w:r>
      </w:hyperlink>
    </w:p>
    <w:p w14:paraId="5A56A37B" w14:textId="77777777" w:rsidR="00AD24A4" w:rsidRPr="007D706B" w:rsidRDefault="00AD24A4" w:rsidP="00AD24A4">
      <w:pPr>
        <w:pStyle w:val="ListParagraph"/>
        <w:spacing w:after="0" w:line="240" w:lineRule="auto"/>
        <w:ind w:left="360"/>
        <w:rPr>
          <w:rFonts w:ascii="Arial" w:hAnsi="Arial" w:cs="Arial"/>
        </w:rPr>
      </w:pPr>
    </w:p>
    <w:p w14:paraId="2DE9BCCD" w14:textId="77777777" w:rsidR="00AD24A4" w:rsidRPr="007D706B" w:rsidRDefault="00AD24A4" w:rsidP="00AD24A4">
      <w:pPr>
        <w:spacing w:after="0" w:line="240" w:lineRule="auto"/>
        <w:rPr>
          <w:rFonts w:ascii="Arial" w:hAnsi="Arial" w:cs="Arial"/>
        </w:rPr>
      </w:pPr>
      <w:r w:rsidRPr="007D706B">
        <w:rPr>
          <w:rFonts w:ascii="Arial" w:hAnsi="Arial" w:cs="Arial"/>
        </w:rPr>
        <w:t>In addition to those specified workshops, IMPACT Coaches spent time informally with young people at the respective LHPs, using the base for meetings and planning sessions.</w:t>
      </w:r>
    </w:p>
    <w:p w14:paraId="7AFCC55B" w14:textId="77777777" w:rsidR="00AD24A4" w:rsidRPr="007D706B" w:rsidRDefault="00AD24A4" w:rsidP="00AD24A4">
      <w:pPr>
        <w:spacing w:after="0" w:line="240" w:lineRule="auto"/>
        <w:rPr>
          <w:rFonts w:ascii="Arial" w:hAnsi="Arial" w:cs="Arial"/>
        </w:rPr>
      </w:pPr>
    </w:p>
    <w:p w14:paraId="12986C2C" w14:textId="48CA8D02" w:rsidR="00AD24A4" w:rsidRPr="00AD24A4" w:rsidRDefault="00AD24A4" w:rsidP="00AD24A4">
      <w:pPr>
        <w:pStyle w:val="Heading1"/>
        <w:spacing w:after="0"/>
      </w:pPr>
      <w:r w:rsidRPr="007D706B">
        <w:t xml:space="preserve">What worked for us? </w:t>
      </w:r>
    </w:p>
    <w:p w14:paraId="07464207" w14:textId="1D907213" w:rsidR="00AD24A4" w:rsidRPr="00AD24A4" w:rsidRDefault="00AD24A4" w:rsidP="00AD24A4">
      <w:pPr>
        <w:pStyle w:val="Heading2"/>
        <w:spacing w:after="0"/>
      </w:pPr>
      <w:r w:rsidRPr="007D706B">
        <w:t>Engaging with evidence</w:t>
      </w:r>
    </w:p>
    <w:p w14:paraId="2D5FCD80" w14:textId="77777777" w:rsidR="00AD24A4" w:rsidRDefault="00AD24A4" w:rsidP="00AD24A4">
      <w:pPr>
        <w:spacing w:after="0" w:line="240" w:lineRule="auto"/>
        <w:rPr>
          <w:rFonts w:ascii="Arial" w:hAnsi="Arial" w:cs="Arial"/>
        </w:rPr>
      </w:pPr>
      <w:r w:rsidRPr="007D706B">
        <w:rPr>
          <w:rFonts w:ascii="Arial" w:hAnsi="Arial" w:cs="Arial"/>
        </w:rPr>
        <w:t xml:space="preserve">IMPACT Demonstrators undertake an evidence review to ensure that strategic projects draw on evidence from across research, practice and lived experience. This work was also informed by the </w:t>
      </w:r>
      <w:bookmarkStart w:id="0" w:name="_Hlk206412531"/>
      <w:r w:rsidRPr="007D706B">
        <w:rPr>
          <w:rFonts w:ascii="Arial" w:hAnsi="Arial" w:cs="Arial"/>
        </w:rPr>
        <w:t>EXIT Study</w:t>
      </w:r>
      <w:bookmarkEnd w:id="0"/>
      <w:r w:rsidRPr="007D706B">
        <w:rPr>
          <w:rFonts w:ascii="Arial" w:hAnsi="Arial" w:cs="Arial"/>
        </w:rPr>
        <w:t>, an evaluation of NHP’s approach across two NHP sites.</w:t>
      </w:r>
      <w:r w:rsidRPr="007D706B">
        <w:rPr>
          <w:rFonts w:ascii="Arial" w:hAnsi="Arial" w:cs="Arial"/>
          <w:b/>
          <w:bCs/>
          <w:noProof/>
        </w:rPr>
        <w:drawing>
          <wp:anchor distT="0" distB="0" distL="114300" distR="114300" simplePos="0" relativeHeight="251662336" behindDoc="0" locked="0" layoutInCell="1" allowOverlap="1" wp14:anchorId="5C77A91C" wp14:editId="759F70B5">
            <wp:simplePos x="0" y="0"/>
            <wp:positionH relativeFrom="margin">
              <wp:posOffset>4527550</wp:posOffset>
            </wp:positionH>
            <wp:positionV relativeFrom="paragraph">
              <wp:posOffset>333375</wp:posOffset>
            </wp:positionV>
            <wp:extent cx="2362200" cy="1774190"/>
            <wp:effectExtent l="0" t="0" r="0" b="0"/>
            <wp:wrapSquare wrapText="bothSides"/>
            <wp:docPr id="2042607822" name="Picture 2" descr="Several sticky notes on a boar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2607822" name="Picture 2" descr="Several sticky notes on a board&#10;&#10;AI-generated content may be incorrect."/>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rot="10800000">
                      <a:off x="0" y="0"/>
                      <a:ext cx="2362200" cy="17741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D706B">
        <w:rPr>
          <w:rFonts w:ascii="Arial" w:hAnsi="Arial" w:cs="Arial"/>
        </w:rPr>
        <w:t xml:space="preserve"> </w:t>
      </w:r>
    </w:p>
    <w:p w14:paraId="2ADCCDB8" w14:textId="77777777" w:rsidR="00AD24A4" w:rsidRPr="007D706B" w:rsidRDefault="00AD24A4" w:rsidP="00AD24A4">
      <w:pPr>
        <w:spacing w:after="0" w:line="240" w:lineRule="auto"/>
        <w:rPr>
          <w:rFonts w:ascii="Arial" w:hAnsi="Arial" w:cs="Arial"/>
        </w:rPr>
      </w:pPr>
    </w:p>
    <w:p w14:paraId="4F5B81DD" w14:textId="77777777" w:rsidR="00AD24A4" w:rsidRPr="007D706B" w:rsidRDefault="00AD24A4" w:rsidP="00AD24A4">
      <w:pPr>
        <w:spacing w:after="0" w:line="240" w:lineRule="auto"/>
        <w:rPr>
          <w:rFonts w:ascii="Arial" w:hAnsi="Arial" w:cs="Arial"/>
          <w:color w:val="000000" w:themeColor="text1"/>
        </w:rPr>
      </w:pPr>
      <w:r w:rsidRPr="007D706B">
        <w:rPr>
          <w:rFonts w:ascii="Arial" w:hAnsi="Arial" w:cs="Arial"/>
          <w:color w:val="000000" w:themeColor="text1"/>
        </w:rPr>
        <w:t xml:space="preserve">Throughout the course of this project, we invited practitioners and care experienced young people and adults to engage with evidence. We invited them to engage with The Promise </w:t>
      </w:r>
      <w:hyperlink r:id="rId17" w:history="1">
        <w:r w:rsidRPr="007D706B">
          <w:rPr>
            <w:rStyle w:val="Hyperlink"/>
            <w:rFonts w:ascii="Arial" w:hAnsi="Arial" w:cs="Arial"/>
            <w:color w:val="000000" w:themeColor="text1"/>
          </w:rPr>
          <w:t>Design Knowledge Board tool</w:t>
        </w:r>
      </w:hyperlink>
      <w:r w:rsidRPr="007D706B">
        <w:rPr>
          <w:rFonts w:ascii="Arial" w:hAnsi="Arial" w:cs="Arial"/>
          <w:color w:val="000000" w:themeColor="text1"/>
        </w:rPr>
        <w:t xml:space="preserve"> to draw out knowledge emerging from practice and lived experience. This was also a way for us to challenge the hierarchy of evidence and identify gaps by asking participants to share what they knew to be true from their own experiences and to use their instincts.</w:t>
      </w:r>
    </w:p>
    <w:p w14:paraId="11757739" w14:textId="77777777" w:rsidR="00AD24A4" w:rsidRDefault="00AD24A4" w:rsidP="00AD24A4">
      <w:pPr>
        <w:spacing w:after="0" w:line="240" w:lineRule="auto"/>
        <w:rPr>
          <w:rFonts w:ascii="Arial" w:hAnsi="Arial" w:cs="Arial"/>
          <w:color w:val="000000" w:themeColor="text1"/>
        </w:rPr>
      </w:pPr>
    </w:p>
    <w:p w14:paraId="0491D760" w14:textId="73CCC383" w:rsidR="00AD24A4" w:rsidRPr="007D706B" w:rsidRDefault="00AD24A4" w:rsidP="00AD24A4">
      <w:pPr>
        <w:spacing w:after="0" w:line="240" w:lineRule="auto"/>
        <w:rPr>
          <w:rFonts w:ascii="Arial" w:hAnsi="Arial" w:cs="Arial"/>
          <w:color w:val="000000" w:themeColor="text1"/>
        </w:rPr>
      </w:pPr>
      <w:r w:rsidRPr="007D706B">
        <w:rPr>
          <w:rFonts w:ascii="Arial" w:hAnsi="Arial" w:cs="Arial"/>
          <w:color w:val="000000" w:themeColor="text1"/>
        </w:rPr>
        <w:t>We also developed accessible summaries of the IMPACT evidence review, summarising main points in short form rather than asking participants to engage in extensive reading.</w:t>
      </w:r>
    </w:p>
    <w:p w14:paraId="6A003A6A" w14:textId="77777777" w:rsidR="00AD24A4" w:rsidRPr="007D706B" w:rsidRDefault="00AD24A4" w:rsidP="00AD24A4">
      <w:pPr>
        <w:spacing w:after="0" w:line="240" w:lineRule="auto"/>
        <w:rPr>
          <w:rFonts w:ascii="Arial" w:hAnsi="Arial" w:cs="Arial"/>
          <w:color w:val="000000" w:themeColor="text1"/>
        </w:rPr>
      </w:pPr>
      <w:r w:rsidRPr="007D706B">
        <w:rPr>
          <w:rFonts w:ascii="Arial" w:hAnsi="Arial" w:cs="Arial"/>
          <w:color w:val="000000" w:themeColor="text1"/>
        </w:rPr>
        <w:t>In our work in Fife, we used case studies that illustrated key challenges faced by care experienced adults in individual story form. This allowed young people to consider how individuals would engage with adult support services in more concrete terms.</w:t>
      </w:r>
    </w:p>
    <w:p w14:paraId="4FF2534C" w14:textId="77777777" w:rsidR="00AD24A4" w:rsidRDefault="00AD24A4" w:rsidP="00AD24A4">
      <w:pPr>
        <w:spacing w:after="0" w:line="240" w:lineRule="auto"/>
        <w:rPr>
          <w:rFonts w:ascii="Arial" w:hAnsi="Arial" w:cs="Arial"/>
          <w:color w:val="000000" w:themeColor="text1"/>
        </w:rPr>
      </w:pPr>
    </w:p>
    <w:p w14:paraId="25CDEBB8" w14:textId="626B7848" w:rsidR="00AD24A4" w:rsidRPr="007D706B" w:rsidRDefault="00AD24A4" w:rsidP="00AD24A4">
      <w:pPr>
        <w:spacing w:after="0" w:line="240" w:lineRule="auto"/>
        <w:rPr>
          <w:rFonts w:ascii="Arial" w:hAnsi="Arial" w:cs="Arial"/>
          <w:color w:val="000000" w:themeColor="text1"/>
        </w:rPr>
      </w:pPr>
      <w:r w:rsidRPr="007D706B">
        <w:rPr>
          <w:rFonts w:ascii="Arial" w:hAnsi="Arial" w:cs="Arial"/>
          <w:color w:val="000000" w:themeColor="text1"/>
        </w:rPr>
        <w:t>Our work in Coventry, utilised the eight themes from Coventry’s Local Care Leaver Offer (</w:t>
      </w:r>
      <w:hyperlink r:id="rId18" w:history="1">
        <w:r w:rsidRPr="007D706B">
          <w:rPr>
            <w:rStyle w:val="Hyperlink"/>
            <w:rFonts w:ascii="Arial" w:hAnsi="Arial" w:cs="Arial"/>
          </w:rPr>
          <w:t>Through Care Local Offer Booklet</w:t>
        </w:r>
      </w:hyperlink>
      <w:r w:rsidRPr="007D706B">
        <w:rPr>
          <w:rFonts w:ascii="Arial" w:hAnsi="Arial" w:cs="Arial"/>
          <w:color w:val="000000" w:themeColor="text1"/>
        </w:rPr>
        <w:t>). The themes facilitated the co-production groups to explore each theme, language used and the offer whilst acknowledging overlap. Responses were framed in the context of support for care experienced adults.</w:t>
      </w:r>
    </w:p>
    <w:p w14:paraId="271C8F16" w14:textId="77777777" w:rsidR="00AD24A4" w:rsidRDefault="00AD24A4" w:rsidP="00AD24A4">
      <w:pPr>
        <w:spacing w:after="0" w:line="240" w:lineRule="auto"/>
        <w:rPr>
          <w:rFonts w:ascii="Arial" w:hAnsi="Arial" w:cs="Arial"/>
          <w:color w:val="000000" w:themeColor="text1"/>
        </w:rPr>
      </w:pPr>
    </w:p>
    <w:p w14:paraId="67D8CB4E" w14:textId="1E726F17" w:rsidR="00AD24A4" w:rsidRPr="007D706B" w:rsidRDefault="00AD24A4" w:rsidP="00AD24A4">
      <w:pPr>
        <w:spacing w:after="0" w:line="240" w:lineRule="auto"/>
        <w:rPr>
          <w:rFonts w:ascii="Arial" w:hAnsi="Arial" w:cs="Arial"/>
          <w:color w:val="000000" w:themeColor="text1"/>
        </w:rPr>
      </w:pPr>
      <w:r w:rsidRPr="007D706B">
        <w:rPr>
          <w:rFonts w:ascii="Arial" w:hAnsi="Arial" w:cs="Arial"/>
          <w:color w:val="000000" w:themeColor="text1"/>
        </w:rPr>
        <w:t>It is important to note that presenting evidence to people with lived experience about the poor outcomes they may face, and the stigmatising views about them, has the potential to be extremely difficult. We took time after presenting evidence to celebrate the successes of care experienced individuals and directly address the challenges of research that is often focused on deficits rather than strengths.</w:t>
      </w:r>
    </w:p>
    <w:p w14:paraId="500086A3" w14:textId="77777777" w:rsidR="00AD24A4" w:rsidRDefault="00AD24A4" w:rsidP="00AD24A4">
      <w:pPr>
        <w:spacing w:after="0"/>
      </w:pPr>
    </w:p>
    <w:p w14:paraId="02FC6AE6" w14:textId="0DAA0EA5" w:rsidR="00AD24A4" w:rsidRPr="007D706B" w:rsidRDefault="00AD24A4" w:rsidP="00AD24A4">
      <w:pPr>
        <w:pStyle w:val="Heading2"/>
        <w:spacing w:after="0"/>
      </w:pPr>
      <w:r w:rsidRPr="007D706B">
        <w:t>The ethics of co-production</w:t>
      </w:r>
    </w:p>
    <w:p w14:paraId="061102C1" w14:textId="77777777" w:rsidR="00AD24A4" w:rsidRDefault="00AD24A4" w:rsidP="00AD24A4">
      <w:pPr>
        <w:spacing w:after="0" w:line="240" w:lineRule="auto"/>
        <w:rPr>
          <w:rFonts w:ascii="Arial" w:hAnsi="Arial" w:cs="Arial"/>
        </w:rPr>
      </w:pPr>
      <w:r w:rsidRPr="007D706B">
        <w:rPr>
          <w:rFonts w:ascii="Arial" w:hAnsi="Arial" w:cs="Arial"/>
        </w:rPr>
        <w:t xml:space="preserve">Johnson et al (2024) highlight problems with exploitative involvement, where care experienced narratives are co-opted to bolster support for innovation. Some of the care experienced individuals that the project engaged with had not always had positive experiences of being involved in </w:t>
      </w:r>
      <w:proofErr w:type="gramStart"/>
      <w:r w:rsidRPr="007D706B">
        <w:rPr>
          <w:rFonts w:ascii="Arial" w:hAnsi="Arial" w:cs="Arial"/>
        </w:rPr>
        <w:t>co-production, and</w:t>
      </w:r>
      <w:proofErr w:type="gramEnd"/>
      <w:r w:rsidRPr="007D706B">
        <w:rPr>
          <w:rFonts w:ascii="Arial" w:hAnsi="Arial" w:cs="Arial"/>
        </w:rPr>
        <w:t xml:space="preserve"> did not always want to be viewed as a ‘care experienced’ individual. Before undertaking collaboration with care experienced people </w:t>
      </w:r>
    </w:p>
    <w:p w14:paraId="755D96C9" w14:textId="77777777" w:rsidR="00AD24A4" w:rsidRDefault="00AD24A4" w:rsidP="00AD24A4">
      <w:pPr>
        <w:spacing w:after="0" w:line="240" w:lineRule="auto"/>
        <w:rPr>
          <w:rFonts w:ascii="Arial" w:hAnsi="Arial" w:cs="Arial"/>
        </w:rPr>
      </w:pPr>
    </w:p>
    <w:p w14:paraId="289D9AD3" w14:textId="55A350BF" w:rsidR="00AD24A4" w:rsidRPr="007D706B" w:rsidRDefault="00AD24A4" w:rsidP="00AD24A4">
      <w:pPr>
        <w:spacing w:after="0" w:line="240" w:lineRule="auto"/>
        <w:rPr>
          <w:rFonts w:ascii="Arial" w:hAnsi="Arial" w:cs="Arial"/>
        </w:rPr>
      </w:pPr>
      <w:r w:rsidRPr="007D706B">
        <w:rPr>
          <w:rFonts w:ascii="Arial" w:hAnsi="Arial" w:cs="Arial"/>
        </w:rPr>
        <w:t>it is important to consider:</w:t>
      </w:r>
    </w:p>
    <w:p w14:paraId="41495D02" w14:textId="77777777" w:rsidR="00AD24A4" w:rsidRPr="007D706B" w:rsidRDefault="00AD24A4" w:rsidP="00AD24A4">
      <w:pPr>
        <w:pStyle w:val="ListParagraph"/>
        <w:numPr>
          <w:ilvl w:val="0"/>
          <w:numId w:val="39"/>
        </w:numPr>
        <w:spacing w:after="0" w:line="240" w:lineRule="auto"/>
        <w:rPr>
          <w:rFonts w:ascii="Arial" w:hAnsi="Arial" w:cs="Arial"/>
        </w:rPr>
      </w:pPr>
      <w:r w:rsidRPr="007D706B">
        <w:rPr>
          <w:rFonts w:ascii="Arial" w:hAnsi="Arial" w:cs="Arial"/>
        </w:rPr>
        <w:lastRenderedPageBreak/>
        <w:t>What is the benefit to care experienced people?</w:t>
      </w:r>
    </w:p>
    <w:p w14:paraId="3681E3BA" w14:textId="77777777" w:rsidR="00AD24A4" w:rsidRPr="007D706B" w:rsidRDefault="00AD24A4" w:rsidP="00AD24A4">
      <w:pPr>
        <w:pStyle w:val="ListParagraph"/>
        <w:numPr>
          <w:ilvl w:val="0"/>
          <w:numId w:val="39"/>
        </w:numPr>
        <w:spacing w:after="0" w:line="240" w:lineRule="auto"/>
        <w:rPr>
          <w:rFonts w:ascii="Arial" w:hAnsi="Arial" w:cs="Arial"/>
        </w:rPr>
      </w:pPr>
      <w:r w:rsidRPr="007D706B">
        <w:rPr>
          <w:rFonts w:ascii="Arial" w:hAnsi="Arial" w:cs="Arial"/>
        </w:rPr>
        <w:t>What are the opportunities for influence, and have you communicated these?</w:t>
      </w:r>
    </w:p>
    <w:p w14:paraId="300A33C8" w14:textId="77777777" w:rsidR="00AD24A4" w:rsidRPr="007D706B" w:rsidRDefault="00AD24A4" w:rsidP="00AD24A4">
      <w:pPr>
        <w:pStyle w:val="ListParagraph"/>
        <w:numPr>
          <w:ilvl w:val="0"/>
          <w:numId w:val="39"/>
        </w:numPr>
        <w:spacing w:after="0" w:line="240" w:lineRule="auto"/>
        <w:rPr>
          <w:rFonts w:ascii="Arial" w:hAnsi="Arial" w:cs="Arial"/>
        </w:rPr>
      </w:pPr>
      <w:r w:rsidRPr="007D706B">
        <w:rPr>
          <w:rFonts w:ascii="Arial" w:hAnsi="Arial" w:cs="Arial"/>
        </w:rPr>
        <w:t>What are the expectations for involvement?</w:t>
      </w:r>
    </w:p>
    <w:p w14:paraId="12715800" w14:textId="77777777" w:rsidR="00AD24A4" w:rsidRPr="007D706B" w:rsidRDefault="00AD24A4" w:rsidP="00AD24A4">
      <w:pPr>
        <w:pStyle w:val="ListParagraph"/>
        <w:numPr>
          <w:ilvl w:val="0"/>
          <w:numId w:val="39"/>
        </w:numPr>
        <w:spacing w:after="0" w:line="240" w:lineRule="auto"/>
        <w:rPr>
          <w:rFonts w:ascii="Arial" w:hAnsi="Arial" w:cs="Arial"/>
        </w:rPr>
      </w:pPr>
      <w:r w:rsidRPr="007D706B">
        <w:rPr>
          <w:rFonts w:ascii="Arial" w:hAnsi="Arial" w:cs="Arial"/>
        </w:rPr>
        <w:t xml:space="preserve">What are the risks of involvement (including </w:t>
      </w:r>
      <w:proofErr w:type="spellStart"/>
      <w:r w:rsidRPr="007D706B">
        <w:rPr>
          <w:rFonts w:ascii="Arial" w:hAnsi="Arial" w:cs="Arial"/>
        </w:rPr>
        <w:t>retraumatisation</w:t>
      </w:r>
      <w:proofErr w:type="spellEnd"/>
      <w:r w:rsidRPr="007D706B">
        <w:rPr>
          <w:rFonts w:ascii="Arial" w:hAnsi="Arial" w:cs="Arial"/>
        </w:rPr>
        <w:t>)</w:t>
      </w:r>
    </w:p>
    <w:p w14:paraId="2149B166" w14:textId="77777777" w:rsidR="00AD24A4" w:rsidRPr="007D706B" w:rsidRDefault="00AD24A4" w:rsidP="00AD24A4">
      <w:pPr>
        <w:pStyle w:val="ListParagraph"/>
        <w:spacing w:after="0" w:line="240" w:lineRule="auto"/>
        <w:rPr>
          <w:rFonts w:ascii="Arial" w:hAnsi="Arial" w:cs="Arial"/>
        </w:rPr>
      </w:pPr>
    </w:p>
    <w:p w14:paraId="23274EC7" w14:textId="77777777" w:rsidR="00AD24A4" w:rsidRPr="007D706B" w:rsidRDefault="00AD24A4" w:rsidP="00AD24A4">
      <w:pPr>
        <w:pStyle w:val="Heading2"/>
        <w:spacing w:after="0"/>
      </w:pPr>
      <w:r w:rsidRPr="007D706B">
        <w:t>Recognition</w:t>
      </w:r>
    </w:p>
    <w:p w14:paraId="3605EF07" w14:textId="77777777" w:rsidR="00AD24A4" w:rsidRPr="007D706B" w:rsidRDefault="00AD24A4" w:rsidP="00AD24A4">
      <w:pPr>
        <w:spacing w:after="0" w:line="240" w:lineRule="auto"/>
        <w:rPr>
          <w:rFonts w:ascii="Arial" w:hAnsi="Arial" w:cs="Arial"/>
          <w:color w:val="000000" w:themeColor="text1"/>
        </w:rPr>
      </w:pPr>
      <w:r w:rsidRPr="007D706B">
        <w:rPr>
          <w:rFonts w:ascii="Arial" w:hAnsi="Arial" w:cs="Arial"/>
          <w:color w:val="000000" w:themeColor="text1"/>
        </w:rPr>
        <w:t>In addition to ensuring that co-production processes are of mutual benefit and have the capacity to influence decision making, it is important to recognise the time, energy and focus required by participants. In this project we recognised the time and contribution of care experienced adults with:</w:t>
      </w:r>
    </w:p>
    <w:p w14:paraId="1CAFA501" w14:textId="77777777" w:rsidR="00AD24A4" w:rsidRPr="007D706B" w:rsidRDefault="00AD24A4" w:rsidP="00AD24A4">
      <w:pPr>
        <w:pStyle w:val="ListParagraph"/>
        <w:numPr>
          <w:ilvl w:val="0"/>
          <w:numId w:val="37"/>
        </w:numPr>
        <w:spacing w:after="0" w:line="240" w:lineRule="auto"/>
        <w:rPr>
          <w:rFonts w:ascii="Arial" w:hAnsi="Arial" w:cs="Arial"/>
          <w:color w:val="000000" w:themeColor="text1"/>
        </w:rPr>
      </w:pPr>
      <w:r w:rsidRPr="007D706B">
        <w:rPr>
          <w:rFonts w:ascii="Arial" w:hAnsi="Arial" w:cs="Arial"/>
          <w:color w:val="000000" w:themeColor="text1"/>
        </w:rPr>
        <w:t xml:space="preserve">Payment in line with </w:t>
      </w:r>
      <w:hyperlink r:id="rId19" w:history="1">
        <w:r w:rsidRPr="007D706B">
          <w:rPr>
            <w:rStyle w:val="Hyperlink"/>
            <w:rFonts w:ascii="Arial" w:hAnsi="Arial" w:cs="Arial"/>
          </w:rPr>
          <w:t>INVOLVE policies</w:t>
        </w:r>
      </w:hyperlink>
      <w:r w:rsidRPr="007D706B">
        <w:rPr>
          <w:rFonts w:ascii="Arial" w:hAnsi="Arial" w:cs="Arial"/>
          <w:color w:val="000000" w:themeColor="text1"/>
        </w:rPr>
        <w:t>, with clear communication on how to access this payment, support to complete payment claim forms and clear information that payment may impact on benefit entitlement</w:t>
      </w:r>
    </w:p>
    <w:p w14:paraId="1959D974" w14:textId="77777777" w:rsidR="00AD24A4" w:rsidRPr="007D706B" w:rsidRDefault="00AD24A4" w:rsidP="00AD24A4">
      <w:pPr>
        <w:pStyle w:val="ListParagraph"/>
        <w:numPr>
          <w:ilvl w:val="0"/>
          <w:numId w:val="37"/>
        </w:numPr>
        <w:spacing w:after="0" w:line="240" w:lineRule="auto"/>
        <w:rPr>
          <w:rFonts w:ascii="Arial" w:hAnsi="Arial" w:cs="Arial"/>
          <w:color w:val="000000" w:themeColor="text1"/>
        </w:rPr>
      </w:pPr>
      <w:r w:rsidRPr="007D706B">
        <w:rPr>
          <w:rFonts w:ascii="Arial" w:hAnsi="Arial" w:cs="Arial"/>
          <w:color w:val="000000" w:themeColor="text1"/>
        </w:rPr>
        <w:t xml:space="preserve">A personalised letter to be sent to each participant which outlines the value of their contributions, any individual points of recognition and a paragraph for their CV detailing the project work they have been involved with </w:t>
      </w:r>
    </w:p>
    <w:p w14:paraId="26F7F290" w14:textId="77777777" w:rsidR="00AD24A4" w:rsidRPr="007D706B" w:rsidRDefault="00AD24A4" w:rsidP="00AD24A4">
      <w:pPr>
        <w:pStyle w:val="ListParagraph"/>
        <w:numPr>
          <w:ilvl w:val="0"/>
          <w:numId w:val="37"/>
        </w:numPr>
        <w:spacing w:after="0" w:line="240" w:lineRule="auto"/>
        <w:rPr>
          <w:rFonts w:ascii="Arial" w:hAnsi="Arial" w:cs="Arial"/>
          <w:color w:val="000000" w:themeColor="text1"/>
        </w:rPr>
      </w:pPr>
      <w:r w:rsidRPr="007D706B">
        <w:rPr>
          <w:rFonts w:ascii="Arial" w:hAnsi="Arial" w:cs="Arial"/>
          <w:color w:val="000000" w:themeColor="text1"/>
        </w:rPr>
        <w:t xml:space="preserve">IMPACT, LHP staff and the care experienced individuals themselves identified opportunities to develop their skills and confidence further, for example, speaking at conferences, learning to develop slides on Canva or travelling to events. It is important not to assume that all care experienced people would value these opportunities, and to be attentive to the power dynamics that come with co-production teams making additional, unplanned asks of young people and adults with care experience.  </w:t>
      </w:r>
    </w:p>
    <w:p w14:paraId="1121335D" w14:textId="77777777" w:rsidR="00AD24A4" w:rsidRDefault="00AD24A4" w:rsidP="00AD24A4">
      <w:pPr>
        <w:pStyle w:val="ListParagraph"/>
        <w:numPr>
          <w:ilvl w:val="0"/>
          <w:numId w:val="37"/>
        </w:numPr>
        <w:spacing w:after="0" w:line="240" w:lineRule="auto"/>
        <w:rPr>
          <w:rFonts w:ascii="Arial" w:hAnsi="Arial" w:cs="Arial"/>
          <w:color w:val="000000" w:themeColor="text1"/>
        </w:rPr>
      </w:pPr>
      <w:r w:rsidRPr="007D706B">
        <w:rPr>
          <w:rFonts w:ascii="Arial" w:hAnsi="Arial" w:cs="Arial"/>
          <w:color w:val="000000" w:themeColor="text1"/>
        </w:rPr>
        <w:t>Producing reports for the people involved in the co-production sessions, followed by a follow up session in a ‘you said: we did’ format, clearly noting how ideas were being integrated into project development at each site.</w:t>
      </w:r>
      <w:bookmarkStart w:id="1" w:name="_Hlk198723033"/>
    </w:p>
    <w:p w14:paraId="06A3FBB4" w14:textId="77777777" w:rsidR="00AD24A4" w:rsidRPr="007D706B" w:rsidRDefault="00AD24A4" w:rsidP="00AD24A4">
      <w:pPr>
        <w:pStyle w:val="ListParagraph"/>
        <w:spacing w:after="0" w:line="240" w:lineRule="auto"/>
        <w:ind w:left="360"/>
        <w:rPr>
          <w:rFonts w:ascii="Arial" w:hAnsi="Arial" w:cs="Arial"/>
          <w:color w:val="000000" w:themeColor="text1"/>
        </w:rPr>
      </w:pPr>
    </w:p>
    <w:p w14:paraId="41BC4157" w14:textId="77777777" w:rsidR="00AD24A4" w:rsidRPr="007D706B" w:rsidRDefault="00AD24A4" w:rsidP="00AD24A4">
      <w:pPr>
        <w:pStyle w:val="Heading2"/>
        <w:spacing w:after="0"/>
      </w:pPr>
      <w:r w:rsidRPr="007D706B">
        <w:t>Being attentive to diversity</w:t>
      </w:r>
    </w:p>
    <w:p w14:paraId="6E23762D" w14:textId="77777777" w:rsidR="00AD24A4" w:rsidRPr="007D706B" w:rsidRDefault="00AD24A4" w:rsidP="00AD24A4">
      <w:pPr>
        <w:spacing w:after="0" w:line="240" w:lineRule="auto"/>
        <w:rPr>
          <w:rFonts w:ascii="Arial" w:hAnsi="Arial" w:cs="Arial"/>
        </w:rPr>
      </w:pPr>
      <w:r w:rsidRPr="007D706B">
        <w:rPr>
          <w:rFonts w:ascii="Arial" w:hAnsi="Arial" w:cs="Arial"/>
        </w:rPr>
        <w:t xml:space="preserve">Care leavers are not a homogenous group, though they are often treated as such (Johnson et al, 2024; Smart and Alderson, 2020; Lynch et al, 2021). Care experienced adults face intersecting inequalities, therefore co-production processes should seek to involve not just the most confident voices, but also the most marginalised voices including people who experience mental distress, asylum seekers, and people at risk of involvement with the criminal justice system (Lynch et al, 2021). </w:t>
      </w:r>
    </w:p>
    <w:p w14:paraId="66265CBA" w14:textId="77777777" w:rsidR="00AD24A4" w:rsidRDefault="00AD24A4" w:rsidP="00AD24A4">
      <w:pPr>
        <w:spacing w:after="0" w:line="240" w:lineRule="auto"/>
        <w:rPr>
          <w:rFonts w:ascii="Arial" w:hAnsi="Arial" w:cs="Arial"/>
        </w:rPr>
      </w:pPr>
    </w:p>
    <w:p w14:paraId="10E7E570" w14:textId="68C035F7" w:rsidR="00AD24A4" w:rsidRPr="007D706B" w:rsidRDefault="00AD24A4" w:rsidP="00AD24A4">
      <w:pPr>
        <w:spacing w:after="0" w:line="240" w:lineRule="auto"/>
        <w:rPr>
          <w:rFonts w:ascii="Arial" w:hAnsi="Arial" w:cs="Arial"/>
        </w:rPr>
      </w:pPr>
      <w:r w:rsidRPr="007D706B">
        <w:rPr>
          <w:rFonts w:ascii="Arial" w:hAnsi="Arial" w:cs="Arial"/>
        </w:rPr>
        <w:t>Including diverse participants without the right support to remove barriers to participation is likely to lead to poor outcomes, and exploitation. With diverse groups come diverse needs. In our work we made several adjustments for different life experiences including:</w:t>
      </w:r>
    </w:p>
    <w:p w14:paraId="2B59C1EC" w14:textId="77777777" w:rsidR="00AD24A4" w:rsidRPr="007D706B" w:rsidRDefault="00AD24A4" w:rsidP="00AD24A4">
      <w:pPr>
        <w:pStyle w:val="ListParagraph"/>
        <w:numPr>
          <w:ilvl w:val="0"/>
          <w:numId w:val="40"/>
        </w:numPr>
        <w:spacing w:after="0" w:line="240" w:lineRule="auto"/>
        <w:rPr>
          <w:rFonts w:ascii="Arial" w:hAnsi="Arial" w:cs="Arial"/>
        </w:rPr>
      </w:pPr>
      <w:r w:rsidRPr="007D706B">
        <w:rPr>
          <w:rFonts w:ascii="Arial" w:hAnsi="Arial" w:cs="Arial"/>
        </w:rPr>
        <w:t>Offering flexible sessions at different times to include adults with children, caring and work responsibilities</w:t>
      </w:r>
    </w:p>
    <w:p w14:paraId="2D71321C" w14:textId="77777777" w:rsidR="00AD24A4" w:rsidRPr="007D706B" w:rsidRDefault="00AD24A4" w:rsidP="00AD24A4">
      <w:pPr>
        <w:pStyle w:val="ListParagraph"/>
        <w:numPr>
          <w:ilvl w:val="0"/>
          <w:numId w:val="40"/>
        </w:numPr>
        <w:spacing w:after="0" w:line="240" w:lineRule="auto"/>
        <w:rPr>
          <w:rFonts w:ascii="Arial" w:hAnsi="Arial" w:cs="Arial"/>
        </w:rPr>
      </w:pPr>
      <w:r w:rsidRPr="007D706B">
        <w:rPr>
          <w:rFonts w:ascii="Arial" w:hAnsi="Arial" w:cs="Arial"/>
        </w:rPr>
        <w:t>Offering clear information in advance of the workshops, in written and verbal formats, about what to expect from sessions to support participants to prepare for sessions</w:t>
      </w:r>
    </w:p>
    <w:p w14:paraId="6A9C1890" w14:textId="77777777" w:rsidR="00AD24A4" w:rsidRPr="007D706B" w:rsidRDefault="00AD24A4" w:rsidP="00AD24A4">
      <w:pPr>
        <w:pStyle w:val="ListParagraph"/>
        <w:numPr>
          <w:ilvl w:val="0"/>
          <w:numId w:val="40"/>
        </w:numPr>
        <w:spacing w:after="0" w:line="240" w:lineRule="auto"/>
        <w:rPr>
          <w:rFonts w:ascii="Arial" w:hAnsi="Arial" w:cs="Arial"/>
        </w:rPr>
      </w:pPr>
      <w:r w:rsidRPr="007D706B">
        <w:rPr>
          <w:rFonts w:ascii="Arial" w:hAnsi="Arial" w:cs="Arial"/>
        </w:rPr>
        <w:t>Incorporating frequent movement breaks into sessions for neurodivergent participants</w:t>
      </w:r>
    </w:p>
    <w:p w14:paraId="01673597" w14:textId="77777777" w:rsidR="00AD24A4" w:rsidRPr="007D706B" w:rsidRDefault="00AD24A4" w:rsidP="00AD24A4">
      <w:pPr>
        <w:pStyle w:val="ListParagraph"/>
        <w:numPr>
          <w:ilvl w:val="0"/>
          <w:numId w:val="40"/>
        </w:numPr>
        <w:spacing w:after="0" w:line="240" w:lineRule="auto"/>
        <w:rPr>
          <w:rFonts w:ascii="Arial" w:hAnsi="Arial" w:cs="Arial"/>
        </w:rPr>
      </w:pPr>
      <w:r w:rsidRPr="007D706B">
        <w:rPr>
          <w:rFonts w:ascii="Arial" w:hAnsi="Arial" w:cs="Arial"/>
        </w:rPr>
        <w:t>Offering online and in-person opportunities to take part, as well as 1-1 conversations for those less comfortable in groups</w:t>
      </w:r>
    </w:p>
    <w:p w14:paraId="6F7F9D32" w14:textId="77777777" w:rsidR="00AD24A4" w:rsidRPr="007D706B" w:rsidRDefault="00AD24A4" w:rsidP="00AD24A4">
      <w:pPr>
        <w:pStyle w:val="ListParagraph"/>
        <w:numPr>
          <w:ilvl w:val="0"/>
          <w:numId w:val="40"/>
        </w:numPr>
        <w:spacing w:after="0" w:line="240" w:lineRule="auto"/>
        <w:rPr>
          <w:rFonts w:ascii="Arial" w:hAnsi="Arial" w:cs="Arial"/>
        </w:rPr>
      </w:pPr>
      <w:r w:rsidRPr="007D706B">
        <w:rPr>
          <w:rFonts w:ascii="Arial" w:hAnsi="Arial" w:cs="Arial"/>
        </w:rPr>
        <w:t>Arranging for post-workshop support to be available for anyone who may need emotional support, or may want time to process discussions</w:t>
      </w:r>
    </w:p>
    <w:p w14:paraId="0DBE81FA" w14:textId="77777777" w:rsidR="00AD24A4" w:rsidRPr="007D706B" w:rsidRDefault="00AD24A4" w:rsidP="00AD24A4">
      <w:pPr>
        <w:pStyle w:val="ListParagraph"/>
        <w:numPr>
          <w:ilvl w:val="0"/>
          <w:numId w:val="40"/>
        </w:numPr>
        <w:spacing w:after="0" w:line="240" w:lineRule="auto"/>
        <w:rPr>
          <w:rFonts w:ascii="Arial" w:hAnsi="Arial" w:cs="Arial"/>
        </w:rPr>
      </w:pPr>
      <w:r w:rsidRPr="007D706B">
        <w:rPr>
          <w:rFonts w:ascii="Arial" w:hAnsi="Arial" w:cs="Arial"/>
        </w:rPr>
        <w:t xml:space="preserve">Developing information in different formats including easy to read summaries and animated summaries of sessions to engage participants who lacked confidence in literacy </w:t>
      </w:r>
    </w:p>
    <w:p w14:paraId="608D07BE" w14:textId="77777777" w:rsidR="00AD24A4" w:rsidRPr="007D706B" w:rsidRDefault="00AD24A4" w:rsidP="00AD24A4">
      <w:pPr>
        <w:pStyle w:val="ListParagraph"/>
        <w:numPr>
          <w:ilvl w:val="0"/>
          <w:numId w:val="40"/>
        </w:numPr>
        <w:spacing w:after="0" w:line="240" w:lineRule="auto"/>
        <w:rPr>
          <w:rFonts w:ascii="Arial" w:hAnsi="Arial" w:cs="Arial"/>
        </w:rPr>
      </w:pPr>
      <w:r w:rsidRPr="007D706B">
        <w:rPr>
          <w:rFonts w:ascii="Arial" w:hAnsi="Arial" w:cs="Arial"/>
        </w:rPr>
        <w:lastRenderedPageBreak/>
        <w:t>Not asking participants to ‘speak for’ or represent any minoritised group, allowing them to share what they felt comfortable and safe doing</w:t>
      </w:r>
    </w:p>
    <w:p w14:paraId="1D6EFF82" w14:textId="77777777" w:rsidR="00AD24A4" w:rsidRPr="007D706B" w:rsidRDefault="00AD24A4" w:rsidP="00AD24A4">
      <w:pPr>
        <w:spacing w:after="0" w:line="240" w:lineRule="auto"/>
        <w:rPr>
          <w:rFonts w:ascii="Arial" w:hAnsi="Arial" w:cs="Arial"/>
          <w:b/>
          <w:bCs/>
        </w:rPr>
      </w:pPr>
    </w:p>
    <w:p w14:paraId="464CDEE4" w14:textId="77777777" w:rsidR="00AD24A4" w:rsidRPr="007D706B" w:rsidRDefault="00AD24A4" w:rsidP="00AD24A4">
      <w:pPr>
        <w:pStyle w:val="Heading2"/>
        <w:spacing w:after="0"/>
      </w:pPr>
      <w:r w:rsidRPr="007D706B">
        <w:t>Moving from the abstract to the concrete</w:t>
      </w:r>
    </w:p>
    <w:p w14:paraId="0E0FA14E" w14:textId="77777777" w:rsidR="00AD24A4" w:rsidRPr="007D706B" w:rsidRDefault="00AD24A4" w:rsidP="00AD24A4">
      <w:pPr>
        <w:spacing w:after="0" w:line="240" w:lineRule="auto"/>
        <w:rPr>
          <w:rFonts w:ascii="Arial" w:hAnsi="Arial" w:cs="Arial"/>
        </w:rPr>
      </w:pPr>
      <w:r w:rsidRPr="007D706B">
        <w:rPr>
          <w:rFonts w:ascii="Arial" w:hAnsi="Arial" w:cs="Arial"/>
        </w:rPr>
        <w:t>Early in our engagement we noticed that some care experienced young people struggled to imagine adulthood, the challenges they might face or the goals they might achieve. Adulthood is in many ways an abstract idea, so we worked as much as possible to ground our discussions in more practical activities. This included inviting care experienced young people and adults to reflect on core frameworks for support. For example, we asked care experienced adults who were part of the original House Project (HP10) in Stoke and CLNM members over the age of 21 to consider the three key frameworks:</w:t>
      </w:r>
    </w:p>
    <w:p w14:paraId="08ABE3F6" w14:textId="77777777" w:rsidR="00AD24A4" w:rsidRPr="007D706B" w:rsidRDefault="00AD24A4" w:rsidP="00AD24A4">
      <w:pPr>
        <w:pStyle w:val="ListParagraph"/>
        <w:numPr>
          <w:ilvl w:val="0"/>
          <w:numId w:val="33"/>
        </w:numPr>
        <w:spacing w:after="0" w:line="240" w:lineRule="auto"/>
        <w:rPr>
          <w:rFonts w:ascii="Arial" w:hAnsi="Arial" w:cs="Arial"/>
        </w:rPr>
      </w:pPr>
      <w:bookmarkStart w:id="2" w:name="_Hlk204695233"/>
      <w:r w:rsidRPr="007D706B">
        <w:rPr>
          <w:rFonts w:ascii="Arial" w:hAnsi="Arial" w:cs="Arial"/>
        </w:rPr>
        <w:t>Foundations of the Promise (Fife / Scotland)</w:t>
      </w:r>
    </w:p>
    <w:p w14:paraId="455517CD" w14:textId="77777777" w:rsidR="00AD24A4" w:rsidRPr="007D706B" w:rsidRDefault="00AD24A4" w:rsidP="00AD24A4">
      <w:pPr>
        <w:pStyle w:val="ListParagraph"/>
        <w:numPr>
          <w:ilvl w:val="0"/>
          <w:numId w:val="33"/>
        </w:numPr>
        <w:spacing w:after="0" w:line="240" w:lineRule="auto"/>
        <w:rPr>
          <w:rFonts w:ascii="Arial" w:hAnsi="Arial" w:cs="Arial"/>
        </w:rPr>
      </w:pPr>
      <w:r w:rsidRPr="007D706B">
        <w:rPr>
          <w:rFonts w:ascii="Arial" w:hAnsi="Arial" w:cs="Arial"/>
        </w:rPr>
        <w:t>Coventry’s Care Leaver Offer (Coventry)</w:t>
      </w:r>
    </w:p>
    <w:p w14:paraId="6C7EFF97" w14:textId="77777777" w:rsidR="00AD24A4" w:rsidRPr="007D706B" w:rsidRDefault="00AD24A4" w:rsidP="00AD24A4">
      <w:pPr>
        <w:pStyle w:val="ListParagraph"/>
        <w:numPr>
          <w:ilvl w:val="0"/>
          <w:numId w:val="33"/>
        </w:numPr>
        <w:spacing w:after="0" w:line="240" w:lineRule="auto"/>
        <w:rPr>
          <w:rFonts w:ascii="Arial" w:hAnsi="Arial" w:cs="Arial"/>
        </w:rPr>
      </w:pPr>
      <w:r w:rsidRPr="007D706B">
        <w:rPr>
          <w:rFonts w:ascii="Arial" w:hAnsi="Arial" w:cs="Arial"/>
        </w:rPr>
        <w:t>ORCHID’s Framework (National House Project)</w:t>
      </w:r>
    </w:p>
    <w:p w14:paraId="1970DB28" w14:textId="77777777" w:rsidR="00AD24A4" w:rsidRDefault="00AD24A4" w:rsidP="00AD24A4">
      <w:pPr>
        <w:spacing w:after="0" w:line="240" w:lineRule="auto"/>
        <w:rPr>
          <w:rFonts w:ascii="Arial" w:hAnsi="Arial" w:cs="Arial"/>
        </w:rPr>
      </w:pPr>
    </w:p>
    <w:p w14:paraId="5F20482D" w14:textId="30E3423D" w:rsidR="00AD24A4" w:rsidRDefault="00AD24A4" w:rsidP="00AD24A4">
      <w:pPr>
        <w:spacing w:after="0" w:line="240" w:lineRule="auto"/>
        <w:rPr>
          <w:rFonts w:ascii="Arial" w:hAnsi="Arial" w:cs="Arial"/>
        </w:rPr>
      </w:pPr>
      <w:r w:rsidRPr="007D706B">
        <w:rPr>
          <w:rFonts w:ascii="Arial" w:hAnsi="Arial" w:cs="Arial"/>
        </w:rPr>
        <w:t>Participants commented on the framework themes in the context of adulthood and the relevance to their experiences and the evidence presented. This highlighted, for example, the similarities and differences of language, what trust and / or involvement looks like and the need for adaptability in adulthood as needs are not generic.</w:t>
      </w:r>
    </w:p>
    <w:p w14:paraId="66BA04F7" w14:textId="77777777" w:rsidR="00AD24A4" w:rsidRPr="007D706B" w:rsidRDefault="00AD24A4" w:rsidP="00AD24A4">
      <w:pPr>
        <w:spacing w:after="0" w:line="240" w:lineRule="auto"/>
        <w:rPr>
          <w:rFonts w:ascii="Arial" w:hAnsi="Arial" w:cs="Arial"/>
        </w:rPr>
      </w:pPr>
    </w:p>
    <w:tbl>
      <w:tblPr>
        <w:tblStyle w:val="TableGrid"/>
        <w:tblW w:w="0" w:type="auto"/>
        <w:tblLook w:val="04A0" w:firstRow="1" w:lastRow="0" w:firstColumn="1" w:lastColumn="0" w:noHBand="0" w:noVBand="1"/>
      </w:tblPr>
      <w:tblGrid>
        <w:gridCol w:w="2972"/>
        <w:gridCol w:w="2552"/>
        <w:gridCol w:w="3492"/>
      </w:tblGrid>
      <w:tr w:rsidR="00AD24A4" w:rsidRPr="007D706B" w14:paraId="299A8D63" w14:textId="77777777" w:rsidTr="003662BF">
        <w:trPr>
          <w:tblHeader/>
        </w:trPr>
        <w:tc>
          <w:tcPr>
            <w:tcW w:w="2972" w:type="dxa"/>
          </w:tcPr>
          <w:p w14:paraId="747DDE28" w14:textId="77777777" w:rsidR="00AD24A4" w:rsidRPr="007D706B" w:rsidRDefault="00AD24A4" w:rsidP="00AD24A4">
            <w:pPr>
              <w:rPr>
                <w:rFonts w:ascii="Arial" w:hAnsi="Arial" w:cs="Arial"/>
              </w:rPr>
            </w:pPr>
            <w:r w:rsidRPr="007D706B">
              <w:rPr>
                <w:rFonts w:ascii="Arial" w:hAnsi="Arial" w:cs="Arial"/>
                <w:b/>
                <w:bCs/>
              </w:rPr>
              <w:t>The Orchids Framework</w:t>
            </w:r>
          </w:p>
        </w:tc>
        <w:tc>
          <w:tcPr>
            <w:tcW w:w="2552" w:type="dxa"/>
          </w:tcPr>
          <w:p w14:paraId="1BC08F62" w14:textId="77777777" w:rsidR="00AD24A4" w:rsidRPr="007D706B" w:rsidRDefault="00AD24A4" w:rsidP="00AD24A4">
            <w:pPr>
              <w:rPr>
                <w:rFonts w:ascii="Arial" w:hAnsi="Arial" w:cs="Arial"/>
              </w:rPr>
            </w:pPr>
            <w:r w:rsidRPr="007D706B">
              <w:rPr>
                <w:rFonts w:ascii="Arial" w:hAnsi="Arial" w:cs="Arial"/>
                <w:b/>
                <w:bCs/>
              </w:rPr>
              <w:t>Foundations of the Promise</w:t>
            </w:r>
          </w:p>
        </w:tc>
        <w:tc>
          <w:tcPr>
            <w:tcW w:w="3492" w:type="dxa"/>
          </w:tcPr>
          <w:p w14:paraId="454956FA" w14:textId="77777777" w:rsidR="00AD24A4" w:rsidRPr="007D706B" w:rsidRDefault="00AD24A4" w:rsidP="00AD24A4">
            <w:pPr>
              <w:rPr>
                <w:rFonts w:ascii="Arial" w:hAnsi="Arial" w:cs="Arial"/>
              </w:rPr>
            </w:pPr>
            <w:r w:rsidRPr="007D706B">
              <w:rPr>
                <w:rFonts w:ascii="Arial" w:hAnsi="Arial" w:cs="Arial"/>
                <w:b/>
                <w:bCs/>
              </w:rPr>
              <w:t>Coventry’s Care Leaver Offer</w:t>
            </w:r>
          </w:p>
        </w:tc>
      </w:tr>
      <w:tr w:rsidR="00AD24A4" w:rsidRPr="007D706B" w14:paraId="3E8B16CC" w14:textId="77777777" w:rsidTr="003662BF">
        <w:tc>
          <w:tcPr>
            <w:tcW w:w="2972" w:type="dxa"/>
          </w:tcPr>
          <w:p w14:paraId="292EDD44" w14:textId="77777777" w:rsidR="00AD24A4" w:rsidRPr="007D706B" w:rsidRDefault="00AD24A4" w:rsidP="00AD24A4">
            <w:pPr>
              <w:pStyle w:val="ListParagraph"/>
              <w:numPr>
                <w:ilvl w:val="0"/>
                <w:numId w:val="35"/>
              </w:numPr>
              <w:rPr>
                <w:rFonts w:ascii="Arial" w:hAnsi="Arial" w:cs="Arial"/>
              </w:rPr>
            </w:pPr>
            <w:r w:rsidRPr="007D706B">
              <w:rPr>
                <w:rFonts w:ascii="Arial" w:hAnsi="Arial" w:cs="Arial"/>
              </w:rPr>
              <w:t>Ownership</w:t>
            </w:r>
          </w:p>
          <w:p w14:paraId="05EB4C6E" w14:textId="77777777" w:rsidR="00AD24A4" w:rsidRPr="007D706B" w:rsidRDefault="00AD24A4" w:rsidP="00AD24A4">
            <w:pPr>
              <w:pStyle w:val="ListParagraph"/>
              <w:numPr>
                <w:ilvl w:val="0"/>
                <w:numId w:val="35"/>
              </w:numPr>
              <w:rPr>
                <w:rFonts w:ascii="Arial" w:hAnsi="Arial" w:cs="Arial"/>
              </w:rPr>
            </w:pPr>
            <w:r w:rsidRPr="007D706B">
              <w:rPr>
                <w:rFonts w:ascii="Arial" w:hAnsi="Arial" w:cs="Arial"/>
              </w:rPr>
              <w:t>Responsibility</w:t>
            </w:r>
          </w:p>
          <w:p w14:paraId="2EDFB975" w14:textId="77777777" w:rsidR="00AD24A4" w:rsidRPr="007D706B" w:rsidRDefault="00AD24A4" w:rsidP="00AD24A4">
            <w:pPr>
              <w:pStyle w:val="ListParagraph"/>
              <w:numPr>
                <w:ilvl w:val="0"/>
                <w:numId w:val="35"/>
              </w:numPr>
              <w:rPr>
                <w:rFonts w:ascii="Arial" w:hAnsi="Arial" w:cs="Arial"/>
              </w:rPr>
            </w:pPr>
            <w:r w:rsidRPr="007D706B">
              <w:rPr>
                <w:rFonts w:ascii="Arial" w:hAnsi="Arial" w:cs="Arial"/>
              </w:rPr>
              <w:t>Community</w:t>
            </w:r>
          </w:p>
          <w:p w14:paraId="57DA7865" w14:textId="77777777" w:rsidR="00AD24A4" w:rsidRPr="007D706B" w:rsidRDefault="00AD24A4" w:rsidP="00AD24A4">
            <w:pPr>
              <w:pStyle w:val="ListParagraph"/>
              <w:numPr>
                <w:ilvl w:val="0"/>
                <w:numId w:val="35"/>
              </w:numPr>
              <w:rPr>
                <w:rFonts w:ascii="Arial" w:hAnsi="Arial" w:cs="Arial"/>
              </w:rPr>
            </w:pPr>
            <w:r w:rsidRPr="007D706B">
              <w:rPr>
                <w:rFonts w:ascii="Arial" w:hAnsi="Arial" w:cs="Arial"/>
              </w:rPr>
              <w:t>Homes</w:t>
            </w:r>
          </w:p>
          <w:p w14:paraId="7349B20D" w14:textId="77777777" w:rsidR="00AD24A4" w:rsidRPr="007D706B" w:rsidRDefault="00AD24A4" w:rsidP="00AD24A4">
            <w:pPr>
              <w:pStyle w:val="ListParagraph"/>
              <w:numPr>
                <w:ilvl w:val="0"/>
                <w:numId w:val="35"/>
              </w:numPr>
              <w:rPr>
                <w:rFonts w:ascii="Arial" w:hAnsi="Arial" w:cs="Arial"/>
              </w:rPr>
            </w:pPr>
            <w:r w:rsidRPr="007D706B">
              <w:rPr>
                <w:rFonts w:ascii="Arial" w:hAnsi="Arial" w:cs="Arial"/>
              </w:rPr>
              <w:t>Interdependence</w:t>
            </w:r>
          </w:p>
          <w:p w14:paraId="6D40841F" w14:textId="77777777" w:rsidR="00AD24A4" w:rsidRPr="007D706B" w:rsidRDefault="00AD24A4" w:rsidP="00AD24A4">
            <w:pPr>
              <w:pStyle w:val="ListParagraph"/>
              <w:numPr>
                <w:ilvl w:val="0"/>
                <w:numId w:val="35"/>
              </w:numPr>
              <w:rPr>
                <w:rFonts w:ascii="Arial" w:hAnsi="Arial" w:cs="Arial"/>
              </w:rPr>
            </w:pPr>
            <w:r w:rsidRPr="007D706B">
              <w:rPr>
                <w:rFonts w:ascii="Arial" w:hAnsi="Arial" w:cs="Arial"/>
              </w:rPr>
              <w:t>Direction</w:t>
            </w:r>
          </w:p>
          <w:p w14:paraId="5F198C93" w14:textId="77777777" w:rsidR="00AD24A4" w:rsidRPr="007D706B" w:rsidRDefault="00AD24A4" w:rsidP="00AD24A4">
            <w:pPr>
              <w:pStyle w:val="ListParagraph"/>
              <w:numPr>
                <w:ilvl w:val="0"/>
                <w:numId w:val="35"/>
              </w:numPr>
              <w:rPr>
                <w:rFonts w:ascii="Arial" w:hAnsi="Arial" w:cs="Arial"/>
              </w:rPr>
            </w:pPr>
            <w:r w:rsidRPr="007D706B">
              <w:rPr>
                <w:rFonts w:ascii="Arial" w:hAnsi="Arial" w:cs="Arial"/>
              </w:rPr>
              <w:t>Sense of Wellbeing</w:t>
            </w:r>
          </w:p>
        </w:tc>
        <w:tc>
          <w:tcPr>
            <w:tcW w:w="2552" w:type="dxa"/>
          </w:tcPr>
          <w:p w14:paraId="7232D238" w14:textId="77777777" w:rsidR="00AD24A4" w:rsidRPr="007D706B" w:rsidRDefault="00AD24A4" w:rsidP="00AD24A4">
            <w:pPr>
              <w:pStyle w:val="ListParagraph"/>
              <w:numPr>
                <w:ilvl w:val="0"/>
                <w:numId w:val="36"/>
              </w:numPr>
              <w:rPr>
                <w:rFonts w:ascii="Arial" w:hAnsi="Arial" w:cs="Arial"/>
              </w:rPr>
            </w:pPr>
            <w:r w:rsidRPr="007D706B">
              <w:rPr>
                <w:rFonts w:ascii="Arial" w:hAnsi="Arial" w:cs="Arial"/>
              </w:rPr>
              <w:t>Voice</w:t>
            </w:r>
          </w:p>
          <w:p w14:paraId="22B7A0FC" w14:textId="77777777" w:rsidR="00AD24A4" w:rsidRPr="007D706B" w:rsidRDefault="00AD24A4" w:rsidP="00AD24A4">
            <w:pPr>
              <w:pStyle w:val="ListParagraph"/>
              <w:numPr>
                <w:ilvl w:val="0"/>
                <w:numId w:val="36"/>
              </w:numPr>
              <w:rPr>
                <w:rFonts w:ascii="Arial" w:hAnsi="Arial" w:cs="Arial"/>
              </w:rPr>
            </w:pPr>
            <w:r w:rsidRPr="007D706B">
              <w:rPr>
                <w:rFonts w:ascii="Arial" w:hAnsi="Arial" w:cs="Arial"/>
              </w:rPr>
              <w:t>Care</w:t>
            </w:r>
          </w:p>
          <w:p w14:paraId="79A7BA16" w14:textId="77777777" w:rsidR="00AD24A4" w:rsidRPr="007D706B" w:rsidRDefault="00AD24A4" w:rsidP="00AD24A4">
            <w:pPr>
              <w:pStyle w:val="ListParagraph"/>
              <w:numPr>
                <w:ilvl w:val="0"/>
                <w:numId w:val="36"/>
              </w:numPr>
              <w:rPr>
                <w:rFonts w:ascii="Arial" w:hAnsi="Arial" w:cs="Arial"/>
              </w:rPr>
            </w:pPr>
            <w:r w:rsidRPr="007D706B">
              <w:rPr>
                <w:rFonts w:ascii="Arial" w:hAnsi="Arial" w:cs="Arial"/>
              </w:rPr>
              <w:t>People</w:t>
            </w:r>
          </w:p>
          <w:p w14:paraId="329AD654" w14:textId="77777777" w:rsidR="00AD24A4" w:rsidRPr="007D706B" w:rsidRDefault="00AD24A4" w:rsidP="00AD24A4">
            <w:pPr>
              <w:pStyle w:val="ListParagraph"/>
              <w:numPr>
                <w:ilvl w:val="0"/>
                <w:numId w:val="36"/>
              </w:numPr>
              <w:rPr>
                <w:rFonts w:ascii="Arial" w:hAnsi="Arial" w:cs="Arial"/>
              </w:rPr>
            </w:pPr>
            <w:r w:rsidRPr="007D706B">
              <w:rPr>
                <w:rFonts w:ascii="Arial" w:hAnsi="Arial" w:cs="Arial"/>
              </w:rPr>
              <w:t>Scaffolding</w:t>
            </w:r>
          </w:p>
          <w:p w14:paraId="791D2390" w14:textId="77777777" w:rsidR="00AD24A4" w:rsidRPr="007D706B" w:rsidRDefault="00AD24A4" w:rsidP="00AD24A4">
            <w:pPr>
              <w:pStyle w:val="ListParagraph"/>
              <w:numPr>
                <w:ilvl w:val="0"/>
                <w:numId w:val="36"/>
              </w:numPr>
              <w:rPr>
                <w:rFonts w:ascii="Arial" w:hAnsi="Arial" w:cs="Arial"/>
              </w:rPr>
            </w:pPr>
            <w:r w:rsidRPr="007D706B">
              <w:rPr>
                <w:rFonts w:ascii="Arial" w:hAnsi="Arial" w:cs="Arial"/>
              </w:rPr>
              <w:t>Family</w:t>
            </w:r>
          </w:p>
          <w:p w14:paraId="6DEA3D5A" w14:textId="77777777" w:rsidR="00AD24A4" w:rsidRPr="007D706B" w:rsidRDefault="00AD24A4" w:rsidP="00AD24A4">
            <w:pPr>
              <w:rPr>
                <w:rFonts w:ascii="Arial" w:hAnsi="Arial" w:cs="Arial"/>
              </w:rPr>
            </w:pPr>
          </w:p>
        </w:tc>
        <w:tc>
          <w:tcPr>
            <w:tcW w:w="3492" w:type="dxa"/>
          </w:tcPr>
          <w:p w14:paraId="4E409138" w14:textId="77777777" w:rsidR="00AD24A4" w:rsidRPr="007D706B" w:rsidRDefault="00AD24A4" w:rsidP="00AD24A4">
            <w:pPr>
              <w:pStyle w:val="ListParagraph"/>
              <w:numPr>
                <w:ilvl w:val="0"/>
                <w:numId w:val="34"/>
              </w:numPr>
              <w:rPr>
                <w:rFonts w:ascii="Arial" w:hAnsi="Arial" w:cs="Arial"/>
              </w:rPr>
            </w:pPr>
            <w:r w:rsidRPr="007D706B">
              <w:rPr>
                <w:rFonts w:ascii="Arial" w:hAnsi="Arial" w:cs="Arial"/>
              </w:rPr>
              <w:t xml:space="preserve">Accommodation </w:t>
            </w:r>
          </w:p>
          <w:p w14:paraId="1E0FDDFF" w14:textId="77777777" w:rsidR="00AD24A4" w:rsidRPr="007D706B" w:rsidRDefault="00AD24A4" w:rsidP="00AD24A4">
            <w:pPr>
              <w:pStyle w:val="ListParagraph"/>
              <w:numPr>
                <w:ilvl w:val="0"/>
                <w:numId w:val="34"/>
              </w:numPr>
              <w:rPr>
                <w:rFonts w:ascii="Arial" w:hAnsi="Arial" w:cs="Arial"/>
              </w:rPr>
            </w:pPr>
            <w:r w:rsidRPr="007D706B">
              <w:rPr>
                <w:rFonts w:ascii="Arial" w:hAnsi="Arial" w:cs="Arial"/>
              </w:rPr>
              <w:t>Staying close</w:t>
            </w:r>
          </w:p>
          <w:p w14:paraId="61C45281" w14:textId="77777777" w:rsidR="00AD24A4" w:rsidRPr="007D706B" w:rsidRDefault="00AD24A4" w:rsidP="00AD24A4">
            <w:pPr>
              <w:pStyle w:val="ListParagraph"/>
              <w:numPr>
                <w:ilvl w:val="0"/>
                <w:numId w:val="34"/>
              </w:numPr>
              <w:rPr>
                <w:rFonts w:ascii="Arial" w:hAnsi="Arial" w:cs="Arial"/>
              </w:rPr>
            </w:pPr>
            <w:r w:rsidRPr="007D706B">
              <w:rPr>
                <w:rFonts w:ascii="Arial" w:hAnsi="Arial" w:cs="Arial"/>
              </w:rPr>
              <w:t xml:space="preserve">Education and Employment </w:t>
            </w:r>
          </w:p>
          <w:p w14:paraId="439E1B05" w14:textId="77777777" w:rsidR="00AD24A4" w:rsidRPr="007D706B" w:rsidRDefault="00AD24A4" w:rsidP="00AD24A4">
            <w:pPr>
              <w:pStyle w:val="ListParagraph"/>
              <w:numPr>
                <w:ilvl w:val="0"/>
                <w:numId w:val="34"/>
              </w:numPr>
              <w:rPr>
                <w:rFonts w:ascii="Arial" w:hAnsi="Arial" w:cs="Arial"/>
              </w:rPr>
            </w:pPr>
            <w:r w:rsidRPr="007D706B">
              <w:rPr>
                <w:rFonts w:ascii="Arial" w:hAnsi="Arial" w:cs="Arial"/>
              </w:rPr>
              <w:t>Health and wellbeing</w:t>
            </w:r>
          </w:p>
          <w:p w14:paraId="237F67D5" w14:textId="77777777" w:rsidR="00AD24A4" w:rsidRPr="007D706B" w:rsidRDefault="00AD24A4" w:rsidP="00AD24A4">
            <w:pPr>
              <w:pStyle w:val="ListParagraph"/>
              <w:numPr>
                <w:ilvl w:val="0"/>
                <w:numId w:val="34"/>
              </w:numPr>
              <w:rPr>
                <w:rFonts w:ascii="Arial" w:hAnsi="Arial" w:cs="Arial"/>
              </w:rPr>
            </w:pPr>
            <w:r w:rsidRPr="007D706B">
              <w:rPr>
                <w:rFonts w:ascii="Arial" w:hAnsi="Arial" w:cs="Arial"/>
              </w:rPr>
              <w:t>Finances</w:t>
            </w:r>
          </w:p>
          <w:p w14:paraId="69BF2820" w14:textId="77777777" w:rsidR="00AD24A4" w:rsidRPr="007D706B" w:rsidRDefault="00AD24A4" w:rsidP="00AD24A4">
            <w:pPr>
              <w:pStyle w:val="ListParagraph"/>
              <w:numPr>
                <w:ilvl w:val="0"/>
                <w:numId w:val="34"/>
              </w:numPr>
              <w:rPr>
                <w:rFonts w:ascii="Arial" w:hAnsi="Arial" w:cs="Arial"/>
              </w:rPr>
            </w:pPr>
            <w:r w:rsidRPr="007D706B">
              <w:rPr>
                <w:rFonts w:ascii="Arial" w:hAnsi="Arial" w:cs="Arial"/>
              </w:rPr>
              <w:t>Relationships</w:t>
            </w:r>
          </w:p>
          <w:p w14:paraId="657333FB" w14:textId="77777777" w:rsidR="00AD24A4" w:rsidRPr="007D706B" w:rsidRDefault="00AD24A4" w:rsidP="00AD24A4">
            <w:pPr>
              <w:pStyle w:val="ListParagraph"/>
              <w:numPr>
                <w:ilvl w:val="0"/>
                <w:numId w:val="34"/>
              </w:numPr>
              <w:rPr>
                <w:rFonts w:ascii="Arial" w:hAnsi="Arial" w:cs="Arial"/>
              </w:rPr>
            </w:pPr>
            <w:r w:rsidRPr="007D706B">
              <w:rPr>
                <w:rFonts w:ascii="Arial" w:hAnsi="Arial" w:cs="Arial"/>
              </w:rPr>
              <w:t>Identity</w:t>
            </w:r>
          </w:p>
          <w:p w14:paraId="0F9E14A7" w14:textId="77777777" w:rsidR="00AD24A4" w:rsidRPr="007D706B" w:rsidRDefault="00AD24A4" w:rsidP="00AD24A4">
            <w:pPr>
              <w:pStyle w:val="ListParagraph"/>
              <w:numPr>
                <w:ilvl w:val="0"/>
                <w:numId w:val="34"/>
              </w:numPr>
              <w:rPr>
                <w:rFonts w:ascii="Arial" w:hAnsi="Arial" w:cs="Arial"/>
              </w:rPr>
            </w:pPr>
            <w:r w:rsidRPr="007D706B">
              <w:rPr>
                <w:rFonts w:ascii="Arial" w:hAnsi="Arial" w:cs="Arial"/>
              </w:rPr>
              <w:t>Participation in society</w:t>
            </w:r>
          </w:p>
        </w:tc>
      </w:tr>
    </w:tbl>
    <w:p w14:paraId="78F65890" w14:textId="77777777" w:rsidR="00AD24A4" w:rsidRPr="007D706B" w:rsidRDefault="00AD24A4" w:rsidP="00AD24A4">
      <w:pPr>
        <w:spacing w:after="0" w:line="240" w:lineRule="auto"/>
        <w:rPr>
          <w:rFonts w:ascii="Arial" w:hAnsi="Arial" w:cs="Arial"/>
          <w:b/>
          <w:bCs/>
        </w:rPr>
      </w:pPr>
    </w:p>
    <w:p w14:paraId="1DB07EF5" w14:textId="77777777" w:rsidR="00AD24A4" w:rsidRPr="007D706B" w:rsidRDefault="00AD24A4" w:rsidP="00AD24A4">
      <w:pPr>
        <w:pStyle w:val="Heading2"/>
        <w:spacing w:after="0"/>
      </w:pPr>
      <w:r w:rsidRPr="007D706B">
        <w:t>Trauma informed working</w:t>
      </w:r>
    </w:p>
    <w:p w14:paraId="17032D30" w14:textId="77777777" w:rsidR="00AD24A4" w:rsidRPr="007D706B" w:rsidRDefault="00AD24A4" w:rsidP="00AD24A4">
      <w:pPr>
        <w:spacing w:after="0" w:line="240" w:lineRule="auto"/>
        <w:rPr>
          <w:rFonts w:ascii="Arial" w:hAnsi="Arial" w:cs="Arial"/>
          <w:b/>
          <w:bCs/>
        </w:rPr>
      </w:pPr>
      <w:r w:rsidRPr="00AD24A4">
        <w:rPr>
          <w:rFonts w:ascii="Arial" w:hAnsi="Arial" w:cs="Arial"/>
        </w:rPr>
        <w:t xml:space="preserve">NHP has a </w:t>
      </w:r>
      <w:hyperlink r:id="rId20" w:history="1">
        <w:r w:rsidRPr="00AD24A4">
          <w:rPr>
            <w:rStyle w:val="Hyperlink"/>
            <w:rFonts w:ascii="Arial" w:hAnsi="Arial" w:cs="Arial"/>
          </w:rPr>
          <w:t>psychologically informed approach</w:t>
        </w:r>
      </w:hyperlink>
      <w:r w:rsidRPr="00AD24A4">
        <w:rPr>
          <w:rFonts w:ascii="Arial" w:hAnsi="Arial" w:cs="Arial"/>
        </w:rPr>
        <w:t xml:space="preserve"> which draws on several theories to help build a safe and robust practice framework (</w:t>
      </w:r>
      <w:hyperlink r:id="rId21" w:history="1">
        <w:r w:rsidRPr="00AD24A4">
          <w:rPr>
            <w:rStyle w:val="Hyperlink"/>
            <w:rFonts w:ascii="Arial" w:hAnsi="Arial" w:cs="Arial"/>
          </w:rPr>
          <w:t>ORCHIDS</w:t>
        </w:r>
      </w:hyperlink>
      <w:r w:rsidRPr="00AD24A4">
        <w:rPr>
          <w:rFonts w:ascii="Arial" w:hAnsi="Arial" w:cs="Arial"/>
        </w:rPr>
        <w:t>). Work with young people draws from the theories of attachment</w:t>
      </w:r>
      <w:r w:rsidRPr="007D706B">
        <w:rPr>
          <w:rFonts w:ascii="Arial" w:hAnsi="Arial" w:cs="Arial"/>
        </w:rPr>
        <w:t>, trauma, adolescent development, resilience and self-determination.</w:t>
      </w:r>
    </w:p>
    <w:p w14:paraId="6FE9360B" w14:textId="77777777" w:rsidR="00AD24A4" w:rsidRPr="007D706B" w:rsidRDefault="00AD24A4" w:rsidP="00AD24A4">
      <w:pPr>
        <w:spacing w:after="0" w:line="240" w:lineRule="auto"/>
        <w:rPr>
          <w:rFonts w:ascii="Arial" w:hAnsi="Arial" w:cs="Arial"/>
        </w:rPr>
      </w:pPr>
      <w:r w:rsidRPr="007D706B">
        <w:rPr>
          <w:rFonts w:ascii="Arial" w:hAnsi="Arial" w:cs="Arial"/>
        </w:rPr>
        <w:t xml:space="preserve">As the co-production plan evolved, we became cognisant that we would be asking participants to share their experiences, including challenges as well as successes. Both IMPACT Coaches attended Trauma Informed Level 1 training and worked with LHPs to understand local trauma informed </w:t>
      </w:r>
      <w:proofErr w:type="gramStart"/>
      <w:r w:rsidRPr="007D706B">
        <w:rPr>
          <w:rFonts w:ascii="Arial" w:hAnsi="Arial" w:cs="Arial"/>
        </w:rPr>
        <w:t>approaches, and</w:t>
      </w:r>
      <w:proofErr w:type="gramEnd"/>
      <w:r w:rsidRPr="007D706B">
        <w:rPr>
          <w:rFonts w:ascii="Arial" w:hAnsi="Arial" w:cs="Arial"/>
        </w:rPr>
        <w:t xml:space="preserve"> linked with NHP staff to seek specific advice about how to best support young people and adults through the process. </w:t>
      </w:r>
    </w:p>
    <w:p w14:paraId="60CB3942" w14:textId="77777777" w:rsidR="00AD24A4" w:rsidRPr="007D706B" w:rsidRDefault="00AD24A4" w:rsidP="00AD24A4">
      <w:pPr>
        <w:spacing w:after="0" w:line="240" w:lineRule="auto"/>
        <w:rPr>
          <w:rFonts w:ascii="Arial" w:hAnsi="Arial" w:cs="Arial"/>
        </w:rPr>
      </w:pPr>
      <w:r w:rsidRPr="007D706B">
        <w:rPr>
          <w:rFonts w:ascii="Arial" w:hAnsi="Arial" w:cs="Arial"/>
        </w:rPr>
        <w:t>Whilst risk assessing potential scenarios, building on IMPACT coaches experiences, feedback from the Participation Manager for NHP’s Care Leavers National Movement (</w:t>
      </w:r>
      <w:proofErr w:type="gramStart"/>
      <w:r w:rsidRPr="007D706B">
        <w:rPr>
          <w:rFonts w:ascii="Arial" w:hAnsi="Arial" w:cs="Arial"/>
        </w:rPr>
        <w:t>CLNM)  and</w:t>
      </w:r>
      <w:proofErr w:type="gramEnd"/>
      <w:r w:rsidRPr="007D706B">
        <w:rPr>
          <w:rFonts w:ascii="Arial" w:hAnsi="Arial" w:cs="Arial"/>
        </w:rPr>
        <w:t xml:space="preserve"> researching and assessing supportive resources online we were drawn to ‘A Trauma-Informed approach for events and consultations Mental Health Coordinating Council’ checklist. The </w:t>
      </w:r>
      <w:hyperlink r:id="rId22" w:history="1">
        <w:r w:rsidRPr="007D706B">
          <w:rPr>
            <w:rStyle w:val="Hyperlink"/>
            <w:rFonts w:ascii="Arial" w:hAnsi="Arial" w:cs="Arial"/>
          </w:rPr>
          <w:t>Mental Health Coordinating Council</w:t>
        </w:r>
      </w:hyperlink>
      <w:r w:rsidRPr="007D706B">
        <w:rPr>
          <w:rFonts w:ascii="Arial" w:hAnsi="Arial" w:cs="Arial"/>
        </w:rPr>
        <w:t xml:space="preserve"> is the leading voice for community-managed mental health organisations in New South Wales with open access to its resources. </w:t>
      </w:r>
    </w:p>
    <w:p w14:paraId="6172E1A2" w14:textId="77777777" w:rsidR="00AD24A4" w:rsidRDefault="00AD24A4" w:rsidP="00AD24A4">
      <w:pPr>
        <w:spacing w:after="0" w:line="240" w:lineRule="auto"/>
        <w:rPr>
          <w:rFonts w:ascii="Arial" w:hAnsi="Arial" w:cs="Arial"/>
        </w:rPr>
      </w:pPr>
    </w:p>
    <w:p w14:paraId="6F607D27" w14:textId="095D758A" w:rsidR="00AD24A4" w:rsidRPr="007D706B" w:rsidRDefault="00AD24A4" w:rsidP="00AD24A4">
      <w:pPr>
        <w:spacing w:after="0" w:line="240" w:lineRule="auto"/>
        <w:rPr>
          <w:rFonts w:ascii="Arial" w:hAnsi="Arial" w:cs="Arial"/>
        </w:rPr>
      </w:pPr>
      <w:r w:rsidRPr="007D706B">
        <w:rPr>
          <w:rFonts w:ascii="Arial" w:hAnsi="Arial" w:cs="Arial"/>
        </w:rPr>
        <w:t xml:space="preserve">The checklist has thirteen elements which acted as a guide for planning. </w:t>
      </w:r>
      <w:proofErr w:type="gramStart"/>
      <w:r w:rsidRPr="007D706B">
        <w:rPr>
          <w:rFonts w:ascii="Arial" w:hAnsi="Arial" w:cs="Arial"/>
        </w:rPr>
        <w:t>Key ways</w:t>
      </w:r>
      <w:proofErr w:type="gramEnd"/>
      <w:r w:rsidRPr="007D706B">
        <w:rPr>
          <w:rFonts w:ascii="Arial" w:hAnsi="Arial" w:cs="Arial"/>
        </w:rPr>
        <w:t xml:space="preserve"> that we considered trauma in our approach included:</w:t>
      </w:r>
    </w:p>
    <w:p w14:paraId="63AE3BC0" w14:textId="77777777" w:rsidR="00AD24A4" w:rsidRPr="007D706B" w:rsidRDefault="00AD24A4" w:rsidP="00AD24A4">
      <w:pPr>
        <w:pStyle w:val="ListParagraph"/>
        <w:numPr>
          <w:ilvl w:val="0"/>
          <w:numId w:val="41"/>
        </w:numPr>
        <w:spacing w:after="0" w:line="240" w:lineRule="auto"/>
        <w:rPr>
          <w:rFonts w:ascii="Arial" w:hAnsi="Arial" w:cs="Arial"/>
        </w:rPr>
      </w:pPr>
      <w:r w:rsidRPr="007D706B">
        <w:rPr>
          <w:rFonts w:ascii="Arial" w:hAnsi="Arial" w:cs="Arial"/>
        </w:rPr>
        <w:lastRenderedPageBreak/>
        <w:t>Providing information in advance to all participants about the work, what to expect and topics of discussion</w:t>
      </w:r>
    </w:p>
    <w:p w14:paraId="2E3714E2" w14:textId="77777777" w:rsidR="00AD24A4" w:rsidRPr="007D706B" w:rsidRDefault="00AD24A4" w:rsidP="00AD24A4">
      <w:pPr>
        <w:pStyle w:val="ListParagraph"/>
        <w:numPr>
          <w:ilvl w:val="0"/>
          <w:numId w:val="41"/>
        </w:numPr>
        <w:spacing w:after="0" w:line="240" w:lineRule="auto"/>
        <w:rPr>
          <w:rFonts w:ascii="Arial" w:hAnsi="Arial" w:cs="Arial"/>
        </w:rPr>
      </w:pPr>
      <w:r w:rsidRPr="007D706B">
        <w:rPr>
          <w:rFonts w:ascii="Arial" w:hAnsi="Arial" w:cs="Arial"/>
        </w:rPr>
        <w:t>Ongoing evaluation throughout the session about how discussions felt for participants, any concerns and what we could do differently as workshops progress</w:t>
      </w:r>
    </w:p>
    <w:p w14:paraId="1228FDAB" w14:textId="77777777" w:rsidR="00AD24A4" w:rsidRPr="007D706B" w:rsidRDefault="00AD24A4" w:rsidP="00AD24A4">
      <w:pPr>
        <w:pStyle w:val="ListParagraph"/>
        <w:numPr>
          <w:ilvl w:val="0"/>
          <w:numId w:val="41"/>
        </w:numPr>
        <w:spacing w:after="0" w:line="240" w:lineRule="auto"/>
        <w:rPr>
          <w:rFonts w:ascii="Arial" w:hAnsi="Arial" w:cs="Arial"/>
        </w:rPr>
      </w:pPr>
      <w:r w:rsidRPr="007D706B">
        <w:rPr>
          <w:rFonts w:ascii="Arial" w:hAnsi="Arial" w:cs="Arial"/>
        </w:rPr>
        <w:t>Reassurance that participation did not depend on sharing personal details, and that participants could draw on a range of professional as well as personal experiences</w:t>
      </w:r>
    </w:p>
    <w:p w14:paraId="49983B3F" w14:textId="77777777" w:rsidR="00AD24A4" w:rsidRPr="007D706B" w:rsidRDefault="00AD24A4" w:rsidP="00AD24A4">
      <w:pPr>
        <w:pStyle w:val="ListParagraph"/>
        <w:numPr>
          <w:ilvl w:val="0"/>
          <w:numId w:val="41"/>
        </w:numPr>
        <w:spacing w:after="0" w:line="240" w:lineRule="auto"/>
        <w:rPr>
          <w:rFonts w:ascii="Arial" w:hAnsi="Arial" w:cs="Arial"/>
        </w:rPr>
      </w:pPr>
      <w:r w:rsidRPr="007D706B">
        <w:rPr>
          <w:rFonts w:ascii="Arial" w:hAnsi="Arial" w:cs="Arial"/>
        </w:rPr>
        <w:t>Clear ground rules at the outset of each session including confidentiality and mutual respect without judgement</w:t>
      </w:r>
    </w:p>
    <w:p w14:paraId="7025CD94" w14:textId="77777777" w:rsidR="00AD24A4" w:rsidRPr="007D706B" w:rsidRDefault="00AD24A4" w:rsidP="00AD24A4">
      <w:pPr>
        <w:pStyle w:val="ListParagraph"/>
        <w:numPr>
          <w:ilvl w:val="0"/>
          <w:numId w:val="41"/>
        </w:numPr>
        <w:spacing w:after="0" w:line="240" w:lineRule="auto"/>
        <w:rPr>
          <w:rFonts w:ascii="Arial" w:hAnsi="Arial" w:cs="Arial"/>
        </w:rPr>
      </w:pPr>
      <w:r w:rsidRPr="007D706B">
        <w:rPr>
          <w:rFonts w:ascii="Arial" w:hAnsi="Arial" w:cs="Arial"/>
        </w:rPr>
        <w:t xml:space="preserve">Frequent check ins with groups and individuals to ensure that people felt safe and comfortable to continue </w:t>
      </w:r>
    </w:p>
    <w:p w14:paraId="754CA3F8" w14:textId="77777777" w:rsidR="00AD24A4" w:rsidRPr="007D706B" w:rsidRDefault="00AD24A4" w:rsidP="00AD24A4">
      <w:pPr>
        <w:pStyle w:val="ListParagraph"/>
        <w:numPr>
          <w:ilvl w:val="0"/>
          <w:numId w:val="41"/>
        </w:numPr>
        <w:spacing w:after="0" w:line="240" w:lineRule="auto"/>
        <w:rPr>
          <w:rFonts w:ascii="Arial" w:hAnsi="Arial" w:cs="Arial"/>
        </w:rPr>
      </w:pPr>
      <w:r w:rsidRPr="007D706B">
        <w:rPr>
          <w:rFonts w:ascii="Arial" w:hAnsi="Arial" w:cs="Arial"/>
        </w:rPr>
        <w:t xml:space="preserve">Agreement with local leads for each of the sessions that there would be supportive follow up check </w:t>
      </w:r>
      <w:proofErr w:type="gramStart"/>
      <w:r w:rsidRPr="007D706B">
        <w:rPr>
          <w:rFonts w:ascii="Arial" w:hAnsi="Arial" w:cs="Arial"/>
        </w:rPr>
        <w:t>in’s</w:t>
      </w:r>
      <w:proofErr w:type="gramEnd"/>
      <w:r w:rsidRPr="007D706B">
        <w:rPr>
          <w:rFonts w:ascii="Arial" w:hAnsi="Arial" w:cs="Arial"/>
        </w:rPr>
        <w:t xml:space="preserve"> with participants to support any difficult feelings that may have surfaced during or after discussions</w:t>
      </w:r>
    </w:p>
    <w:p w14:paraId="183B4F04" w14:textId="77777777" w:rsidR="00AD24A4" w:rsidRDefault="00AD24A4" w:rsidP="00AD24A4">
      <w:pPr>
        <w:pStyle w:val="ListParagraph"/>
        <w:numPr>
          <w:ilvl w:val="0"/>
          <w:numId w:val="41"/>
        </w:numPr>
        <w:spacing w:after="0" w:line="240" w:lineRule="auto"/>
        <w:rPr>
          <w:rFonts w:ascii="Arial" w:hAnsi="Arial" w:cs="Arial"/>
        </w:rPr>
      </w:pPr>
      <w:r w:rsidRPr="007D706B">
        <w:rPr>
          <w:rFonts w:ascii="Arial" w:hAnsi="Arial" w:cs="Arial"/>
        </w:rPr>
        <w:t>Reassurance that participants would not be named or be recognisable in final writeup, with drafts of outputs shared in multiple formats to ensure participants felt comfortable with how conversations were represented</w:t>
      </w:r>
    </w:p>
    <w:p w14:paraId="2F2644C8" w14:textId="77777777" w:rsidR="00AD24A4" w:rsidRPr="007D706B" w:rsidRDefault="00AD24A4" w:rsidP="00AD24A4">
      <w:pPr>
        <w:pStyle w:val="ListParagraph"/>
        <w:spacing w:after="0" w:line="240" w:lineRule="auto"/>
        <w:ind w:left="360"/>
        <w:rPr>
          <w:rFonts w:ascii="Arial" w:hAnsi="Arial" w:cs="Arial"/>
        </w:rPr>
      </w:pPr>
    </w:p>
    <w:p w14:paraId="365311EA" w14:textId="77777777" w:rsidR="00AD24A4" w:rsidRPr="007D706B" w:rsidRDefault="00AD24A4" w:rsidP="00AD24A4">
      <w:pPr>
        <w:spacing w:after="0" w:line="240" w:lineRule="auto"/>
        <w:rPr>
          <w:rFonts w:ascii="Arial" w:hAnsi="Arial" w:cs="Arial"/>
        </w:rPr>
      </w:pPr>
      <w:r w:rsidRPr="007D706B">
        <w:rPr>
          <w:rFonts w:ascii="Arial" w:hAnsi="Arial" w:cs="Arial"/>
        </w:rPr>
        <w:t>It is important to note that payment for participation was not contingent on sharing personal stories or staying for the full session, and participants were given alternatives if they felt they did not want to continue.</w:t>
      </w:r>
      <w:bookmarkEnd w:id="2"/>
    </w:p>
    <w:p w14:paraId="53A12442" w14:textId="77777777" w:rsidR="00AD24A4" w:rsidRDefault="00AD24A4" w:rsidP="00AD24A4">
      <w:pPr>
        <w:spacing w:after="0"/>
      </w:pPr>
    </w:p>
    <w:p w14:paraId="2BE30019" w14:textId="6A297602" w:rsidR="00AD24A4" w:rsidRPr="007D706B" w:rsidRDefault="00AD24A4" w:rsidP="00AD24A4">
      <w:pPr>
        <w:pStyle w:val="Heading1"/>
        <w:spacing w:after="0"/>
      </w:pPr>
      <w:r w:rsidRPr="007D706B">
        <w:t xml:space="preserve">Key tips to consider when undertaking co-production with care experienced individuals </w:t>
      </w:r>
    </w:p>
    <w:p w14:paraId="3E877A80" w14:textId="77777777" w:rsidR="00AD24A4" w:rsidRPr="007D706B" w:rsidRDefault="00AD24A4" w:rsidP="00AD24A4">
      <w:pPr>
        <w:pStyle w:val="ListParagraph"/>
        <w:numPr>
          <w:ilvl w:val="0"/>
          <w:numId w:val="38"/>
        </w:numPr>
        <w:spacing w:after="0" w:line="240" w:lineRule="auto"/>
        <w:rPr>
          <w:rFonts w:ascii="Arial" w:hAnsi="Arial" w:cs="Arial"/>
        </w:rPr>
      </w:pPr>
      <w:r w:rsidRPr="007D706B">
        <w:rPr>
          <w:rFonts w:ascii="Arial" w:hAnsi="Arial" w:cs="Arial"/>
        </w:rPr>
        <w:t xml:space="preserve">Be realistic in factoring in time for session planning, delivery, write up, reflection and constructive feedback </w:t>
      </w:r>
    </w:p>
    <w:p w14:paraId="6E735BE9" w14:textId="77777777" w:rsidR="00AD24A4" w:rsidRPr="007D706B" w:rsidRDefault="00AD24A4" w:rsidP="00AD24A4">
      <w:pPr>
        <w:pStyle w:val="ListParagraph"/>
        <w:numPr>
          <w:ilvl w:val="0"/>
          <w:numId w:val="38"/>
        </w:numPr>
        <w:spacing w:after="0" w:line="240" w:lineRule="auto"/>
        <w:rPr>
          <w:rFonts w:ascii="Arial" w:hAnsi="Arial" w:cs="Arial"/>
        </w:rPr>
      </w:pPr>
      <w:r w:rsidRPr="007D706B">
        <w:rPr>
          <w:rFonts w:ascii="Arial" w:hAnsi="Arial" w:cs="Arial"/>
        </w:rPr>
        <w:t xml:space="preserve">There can be a tendency to ‘dive into’ co-production sessions. Taking our time at the start of each session for check ins, introductions, sharing agendas, context and session </w:t>
      </w:r>
      <w:proofErr w:type="gramStart"/>
      <w:r w:rsidRPr="007D706B">
        <w:rPr>
          <w:rFonts w:ascii="Arial" w:hAnsi="Arial" w:cs="Arial"/>
        </w:rPr>
        <w:t>aims</w:t>
      </w:r>
      <w:proofErr w:type="gramEnd"/>
      <w:r w:rsidRPr="007D706B">
        <w:rPr>
          <w:rFonts w:ascii="Arial" w:hAnsi="Arial" w:cs="Arial"/>
        </w:rPr>
        <w:t xml:space="preserve"> contributed to creating a trauma informed safe place for the sessions</w:t>
      </w:r>
    </w:p>
    <w:p w14:paraId="5A99EA8F" w14:textId="77777777" w:rsidR="00AD24A4" w:rsidRPr="007D706B" w:rsidRDefault="00AD24A4" w:rsidP="00AD24A4">
      <w:pPr>
        <w:pStyle w:val="ListParagraph"/>
        <w:numPr>
          <w:ilvl w:val="0"/>
          <w:numId w:val="38"/>
        </w:numPr>
        <w:spacing w:after="0" w:line="240" w:lineRule="auto"/>
        <w:rPr>
          <w:rFonts w:ascii="Arial" w:hAnsi="Arial" w:cs="Arial"/>
        </w:rPr>
      </w:pPr>
      <w:r w:rsidRPr="007D706B">
        <w:rPr>
          <w:rFonts w:ascii="Arial" w:hAnsi="Arial" w:cs="Arial"/>
        </w:rPr>
        <w:t>Build in options and contingencies to support adaptability with opportunities for participants to decide on the session’s direction</w:t>
      </w:r>
    </w:p>
    <w:p w14:paraId="5DC865F6" w14:textId="77777777" w:rsidR="00AD24A4" w:rsidRPr="007D706B" w:rsidRDefault="00AD24A4" w:rsidP="00AD24A4">
      <w:pPr>
        <w:pStyle w:val="ListParagraph"/>
        <w:numPr>
          <w:ilvl w:val="0"/>
          <w:numId w:val="38"/>
        </w:numPr>
        <w:spacing w:after="0" w:line="240" w:lineRule="auto"/>
        <w:rPr>
          <w:rFonts w:ascii="Arial" w:hAnsi="Arial" w:cs="Arial"/>
        </w:rPr>
      </w:pPr>
      <w:r w:rsidRPr="007D706B">
        <w:rPr>
          <w:rFonts w:ascii="Arial" w:hAnsi="Arial" w:cs="Arial"/>
        </w:rPr>
        <w:t xml:space="preserve">Actively listening, holding silences and asking for clarification or challenge contributed to the session’s richness </w:t>
      </w:r>
    </w:p>
    <w:p w14:paraId="6BFC6B6D" w14:textId="77777777" w:rsidR="00AD24A4" w:rsidRPr="007D706B" w:rsidRDefault="00AD24A4" w:rsidP="00AD24A4">
      <w:pPr>
        <w:pStyle w:val="ListParagraph"/>
        <w:numPr>
          <w:ilvl w:val="0"/>
          <w:numId w:val="38"/>
        </w:numPr>
        <w:spacing w:after="0" w:line="240" w:lineRule="auto"/>
        <w:rPr>
          <w:rFonts w:ascii="Arial" w:hAnsi="Arial" w:cs="Arial"/>
        </w:rPr>
      </w:pPr>
      <w:r w:rsidRPr="007D706B">
        <w:rPr>
          <w:rFonts w:ascii="Arial" w:hAnsi="Arial" w:cs="Arial"/>
        </w:rPr>
        <w:t>Build in follow up sessions with participants, checking with them that you are clear on what you heard and how you hope to use the learning. Sharing details or reports in advance of feedback sessions with enough notice for processing and reflection helps to add richness to follow up sessions.</w:t>
      </w:r>
    </w:p>
    <w:p w14:paraId="4DB2255D" w14:textId="77777777" w:rsidR="00AD24A4" w:rsidRPr="007D706B" w:rsidRDefault="00AD24A4" w:rsidP="00AD24A4">
      <w:pPr>
        <w:pStyle w:val="ListParagraph"/>
        <w:numPr>
          <w:ilvl w:val="0"/>
          <w:numId w:val="38"/>
        </w:numPr>
        <w:spacing w:after="0" w:line="240" w:lineRule="auto"/>
        <w:rPr>
          <w:rFonts w:ascii="Arial" w:hAnsi="Arial" w:cs="Arial"/>
        </w:rPr>
      </w:pPr>
      <w:r w:rsidRPr="007D706B">
        <w:rPr>
          <w:rFonts w:ascii="Arial" w:hAnsi="Arial" w:cs="Arial"/>
        </w:rPr>
        <w:t>Agree on a feedback format to acknowledge participant’s feedback, keeping in mind multiple barriers to literacy</w:t>
      </w:r>
    </w:p>
    <w:p w14:paraId="465048DC" w14:textId="77777777" w:rsidR="00AD24A4" w:rsidRPr="007D706B" w:rsidRDefault="00AD24A4" w:rsidP="00AD24A4">
      <w:pPr>
        <w:pStyle w:val="ListParagraph"/>
        <w:numPr>
          <w:ilvl w:val="0"/>
          <w:numId w:val="38"/>
        </w:numPr>
        <w:spacing w:after="0" w:line="240" w:lineRule="auto"/>
        <w:rPr>
          <w:rFonts w:ascii="Arial" w:hAnsi="Arial" w:cs="Arial"/>
        </w:rPr>
      </w:pPr>
      <w:r w:rsidRPr="007D706B">
        <w:rPr>
          <w:rFonts w:ascii="Arial" w:hAnsi="Arial" w:cs="Arial"/>
        </w:rPr>
        <w:t xml:space="preserve">Build in a Trauma-Informed (also known as psychologically informed) psychologically informed approach that includes trauma informed approaches for events and consultation using tools like the  session (for example </w:t>
      </w:r>
      <w:hyperlink r:id="rId23" w:history="1">
        <w:r w:rsidRPr="007D706B">
          <w:rPr>
            <w:rStyle w:val="Hyperlink"/>
            <w:rFonts w:ascii="Arial" w:hAnsi="Arial" w:cs="Arial"/>
          </w:rPr>
          <w:t>The Mental Health Coordinating Council Trauma-informed Consent Checklist)</w:t>
        </w:r>
      </w:hyperlink>
      <w:r w:rsidRPr="007D706B">
        <w:rPr>
          <w:rFonts w:ascii="Arial" w:hAnsi="Arial" w:cs="Arial"/>
        </w:rPr>
        <w:t xml:space="preserve"> </w:t>
      </w:r>
    </w:p>
    <w:p w14:paraId="1108053A" w14:textId="77777777" w:rsidR="00AD24A4" w:rsidRDefault="00AD24A4" w:rsidP="00AD24A4">
      <w:pPr>
        <w:pStyle w:val="ListParagraph"/>
        <w:numPr>
          <w:ilvl w:val="0"/>
          <w:numId w:val="38"/>
        </w:numPr>
        <w:spacing w:after="0" w:line="240" w:lineRule="auto"/>
        <w:rPr>
          <w:rFonts w:ascii="Arial" w:hAnsi="Arial" w:cs="Arial"/>
        </w:rPr>
      </w:pPr>
      <w:r w:rsidRPr="007D706B">
        <w:rPr>
          <w:rFonts w:ascii="Arial" w:hAnsi="Arial" w:cs="Arial"/>
        </w:rPr>
        <w:t>Agree the direct and indirect audiences for session outputs – will they be published for the general public? Or more directed to specific organisational development?</w:t>
      </w:r>
    </w:p>
    <w:p w14:paraId="09BFF527" w14:textId="77777777" w:rsidR="00AD24A4" w:rsidRPr="007D706B" w:rsidRDefault="00AD24A4" w:rsidP="00AD24A4">
      <w:pPr>
        <w:pStyle w:val="ListParagraph"/>
        <w:spacing w:after="0" w:line="240" w:lineRule="auto"/>
        <w:ind w:left="360"/>
        <w:rPr>
          <w:rFonts w:ascii="Arial" w:hAnsi="Arial" w:cs="Arial"/>
        </w:rPr>
      </w:pPr>
    </w:p>
    <w:p w14:paraId="7BBD4BB9" w14:textId="6BF4E2C6" w:rsidR="00AD24A4" w:rsidRPr="007D706B" w:rsidRDefault="00AD24A4" w:rsidP="00AD24A4">
      <w:pPr>
        <w:pStyle w:val="Heading1"/>
        <w:spacing w:after="0"/>
      </w:pPr>
      <w:r w:rsidRPr="007D706B">
        <w:t>Thank you to all involved</w:t>
      </w:r>
      <w:bookmarkEnd w:id="1"/>
    </w:p>
    <w:p w14:paraId="280EE741" w14:textId="77777777" w:rsidR="00AD24A4" w:rsidRPr="007D706B" w:rsidRDefault="00AD24A4" w:rsidP="00AD24A4">
      <w:pPr>
        <w:spacing w:after="0"/>
        <w:rPr>
          <w:rFonts w:ascii="Arial" w:hAnsi="Arial" w:cs="Arial"/>
        </w:rPr>
      </w:pPr>
      <w:r w:rsidRPr="007D706B">
        <w:rPr>
          <w:rFonts w:ascii="Arial" w:hAnsi="Arial" w:cs="Arial"/>
        </w:rPr>
        <w:t>Participants shared that they enjoyed the interactive co-production sessions through contributing to and influencing the future for adults with care experience</w:t>
      </w:r>
    </w:p>
    <w:p w14:paraId="5ECA6395" w14:textId="77777777" w:rsidR="00AD24A4" w:rsidRPr="007D706B" w:rsidRDefault="00AD24A4" w:rsidP="00AD24A4">
      <w:pPr>
        <w:spacing w:after="0"/>
        <w:rPr>
          <w:rFonts w:ascii="Arial" w:hAnsi="Arial" w:cs="Arial"/>
        </w:rPr>
      </w:pPr>
      <w:r w:rsidRPr="007D706B">
        <w:rPr>
          <w:rFonts w:ascii="Arial" w:hAnsi="Arial" w:cs="Arial"/>
        </w:rPr>
        <w:lastRenderedPageBreak/>
        <w:t xml:space="preserve">IMPACT’s (Demonstrators) wish to thank all care experienced individuals and professionals from Coventry, Fife and Stoke involved in the co-production sessions. Your mutual respect and openness to engage contributes to the richness of our learning which is informing and influencing the future. </w:t>
      </w:r>
    </w:p>
    <w:p w14:paraId="155B2319" w14:textId="77777777" w:rsidR="00AD24A4" w:rsidRPr="007D706B" w:rsidRDefault="00AD24A4" w:rsidP="00AD24A4">
      <w:pPr>
        <w:spacing w:after="0"/>
        <w:rPr>
          <w:rFonts w:ascii="Arial" w:hAnsi="Arial" w:cs="Arial"/>
        </w:rPr>
      </w:pPr>
      <w:r w:rsidRPr="007D706B">
        <w:rPr>
          <w:rFonts w:ascii="Arial" w:hAnsi="Arial" w:cs="Arial"/>
        </w:rPr>
        <w:t>Thank you to NHP who helped us build connections with care experienced adults.</w:t>
      </w:r>
    </w:p>
    <w:p w14:paraId="645E32FF" w14:textId="77777777" w:rsidR="00AD24A4" w:rsidRPr="007D706B" w:rsidRDefault="00AD24A4" w:rsidP="00AD24A4">
      <w:pPr>
        <w:rPr>
          <w:rFonts w:ascii="Arial" w:hAnsi="Arial" w:cs="Arial"/>
        </w:rPr>
      </w:pPr>
    </w:p>
    <w:p w14:paraId="6F45F07E" w14:textId="77777777" w:rsidR="00AD24A4" w:rsidRDefault="00AD24A4" w:rsidP="00AD24A4">
      <w:pPr>
        <w:pStyle w:val="Heading1"/>
        <w:spacing w:after="0"/>
      </w:pPr>
      <w:r>
        <w:br w:type="page"/>
      </w:r>
    </w:p>
    <w:p w14:paraId="0CD75454" w14:textId="0CE60477" w:rsidR="00AD24A4" w:rsidRPr="007D706B" w:rsidRDefault="00AD24A4" w:rsidP="00AD24A4">
      <w:pPr>
        <w:pStyle w:val="Heading1"/>
        <w:spacing w:after="0"/>
      </w:pPr>
      <w:r w:rsidRPr="007D706B">
        <w:lastRenderedPageBreak/>
        <w:t>References</w:t>
      </w:r>
    </w:p>
    <w:p w14:paraId="3BCADF60" w14:textId="77777777" w:rsidR="00AD24A4" w:rsidRPr="007D706B" w:rsidRDefault="00AD24A4" w:rsidP="00AD24A4">
      <w:pPr>
        <w:pStyle w:val="NormalWeb"/>
        <w:spacing w:after="0" w:afterAutospacing="0"/>
        <w:rPr>
          <w:rFonts w:ascii="Arial" w:hAnsi="Arial" w:cs="Arial"/>
          <w:sz w:val="22"/>
          <w:szCs w:val="22"/>
        </w:rPr>
      </w:pPr>
      <w:r w:rsidRPr="007D706B">
        <w:rPr>
          <w:rFonts w:ascii="Arial" w:hAnsi="Arial" w:cs="Arial"/>
          <w:sz w:val="22"/>
          <w:szCs w:val="22"/>
        </w:rPr>
        <w:t xml:space="preserve">Alderson, H., Smart, D., Kerridge, G., Currie, G., Johnson, R., Kaner, E., Lynch, A., Munro, E., Swan, J. and McGovern, R. (2023) ‘Moving from “what we know works” to “what we do in practice”: An evidence overview of implementation and diffusion of innovation in transition to adulthood for care experienced young people’, </w:t>
      </w:r>
      <w:r w:rsidRPr="007D706B">
        <w:rPr>
          <w:rStyle w:val="Emphasis"/>
          <w:rFonts w:ascii="Arial" w:eastAsiaTheme="majorEastAsia" w:hAnsi="Arial" w:cs="Arial"/>
          <w:sz w:val="22"/>
          <w:szCs w:val="22"/>
        </w:rPr>
        <w:t>Child and Family Social Work</w:t>
      </w:r>
      <w:r w:rsidRPr="007D706B">
        <w:rPr>
          <w:rFonts w:ascii="Arial" w:hAnsi="Arial" w:cs="Arial"/>
          <w:sz w:val="22"/>
          <w:szCs w:val="22"/>
        </w:rPr>
        <w:t>, 28(3), pp. 869–896.</w:t>
      </w:r>
    </w:p>
    <w:p w14:paraId="70E83CF0" w14:textId="77777777" w:rsidR="00AD24A4" w:rsidRPr="007D706B" w:rsidRDefault="00AD24A4" w:rsidP="00AD24A4">
      <w:pPr>
        <w:pStyle w:val="NormalWeb"/>
        <w:spacing w:after="0" w:afterAutospacing="0"/>
        <w:rPr>
          <w:rFonts w:ascii="Arial" w:hAnsi="Arial" w:cs="Arial"/>
          <w:sz w:val="22"/>
          <w:szCs w:val="22"/>
        </w:rPr>
      </w:pPr>
      <w:r w:rsidRPr="007D706B">
        <w:rPr>
          <w:rFonts w:ascii="Arial" w:hAnsi="Arial" w:cs="Arial"/>
          <w:sz w:val="22"/>
          <w:szCs w:val="22"/>
        </w:rPr>
        <w:t xml:space="preserve">Atkinson, C. and Hyde, R. (2019) ‘Care leavers’ views about transition: a literature review’, </w:t>
      </w:r>
      <w:r w:rsidRPr="007D706B">
        <w:rPr>
          <w:rStyle w:val="Emphasis"/>
          <w:rFonts w:ascii="Arial" w:eastAsiaTheme="majorEastAsia" w:hAnsi="Arial" w:cs="Arial"/>
          <w:sz w:val="22"/>
          <w:szCs w:val="22"/>
        </w:rPr>
        <w:t>Journal of Children’s Services</w:t>
      </w:r>
      <w:r w:rsidRPr="007D706B">
        <w:rPr>
          <w:rFonts w:ascii="Arial" w:hAnsi="Arial" w:cs="Arial"/>
          <w:sz w:val="22"/>
          <w:szCs w:val="22"/>
        </w:rPr>
        <w:t>, 14(1), pp. 42–58.</w:t>
      </w:r>
    </w:p>
    <w:p w14:paraId="1876C5F1" w14:textId="77777777" w:rsidR="00AD24A4" w:rsidRPr="007D706B" w:rsidRDefault="00AD24A4" w:rsidP="00AD24A4">
      <w:pPr>
        <w:pStyle w:val="NormalWeb"/>
        <w:spacing w:after="0" w:afterAutospacing="0"/>
        <w:rPr>
          <w:rFonts w:ascii="Arial" w:hAnsi="Arial" w:cs="Arial"/>
          <w:sz w:val="22"/>
          <w:szCs w:val="22"/>
        </w:rPr>
      </w:pPr>
      <w:r w:rsidRPr="007D706B">
        <w:rPr>
          <w:rFonts w:ascii="Arial" w:hAnsi="Arial" w:cs="Arial"/>
          <w:sz w:val="22"/>
          <w:szCs w:val="22"/>
        </w:rPr>
        <w:t xml:space="preserve">Flinders, M., Wood, M. and Cunningham, M. (2016) ‘The politics of co-production: risks, limits and pollution’, </w:t>
      </w:r>
      <w:r w:rsidRPr="007D706B">
        <w:rPr>
          <w:rStyle w:val="Emphasis"/>
          <w:rFonts w:ascii="Arial" w:eastAsiaTheme="majorEastAsia" w:hAnsi="Arial" w:cs="Arial"/>
          <w:sz w:val="22"/>
          <w:szCs w:val="22"/>
        </w:rPr>
        <w:t>Evidence &amp; Policy</w:t>
      </w:r>
      <w:r w:rsidRPr="007D706B">
        <w:rPr>
          <w:rFonts w:ascii="Arial" w:hAnsi="Arial" w:cs="Arial"/>
          <w:sz w:val="22"/>
          <w:szCs w:val="22"/>
        </w:rPr>
        <w:t>, 12(2), pp. 261–279.</w:t>
      </w:r>
    </w:p>
    <w:p w14:paraId="1F9460AE" w14:textId="77777777" w:rsidR="00AD24A4" w:rsidRPr="007D706B" w:rsidRDefault="00AD24A4" w:rsidP="00AD24A4">
      <w:pPr>
        <w:pStyle w:val="NormalWeb"/>
        <w:spacing w:after="0" w:afterAutospacing="0"/>
        <w:rPr>
          <w:rFonts w:ascii="Arial" w:hAnsi="Arial" w:cs="Arial"/>
          <w:sz w:val="22"/>
          <w:szCs w:val="22"/>
        </w:rPr>
      </w:pPr>
      <w:r w:rsidRPr="007D706B">
        <w:rPr>
          <w:rFonts w:ascii="Arial" w:hAnsi="Arial" w:cs="Arial"/>
          <w:sz w:val="22"/>
          <w:szCs w:val="22"/>
        </w:rPr>
        <w:t xml:space="preserve">Heaton, J., Day, J. and Britten, N. (2015) ‘Collaborative research and the co-production of knowledge for practice: an illustrative case study’, </w:t>
      </w:r>
      <w:r w:rsidRPr="007D706B">
        <w:rPr>
          <w:rStyle w:val="Emphasis"/>
          <w:rFonts w:ascii="Arial" w:eastAsiaTheme="majorEastAsia" w:hAnsi="Arial" w:cs="Arial"/>
          <w:sz w:val="22"/>
          <w:szCs w:val="22"/>
        </w:rPr>
        <w:t>Implementation Science</w:t>
      </w:r>
      <w:r w:rsidRPr="007D706B">
        <w:rPr>
          <w:rFonts w:ascii="Arial" w:hAnsi="Arial" w:cs="Arial"/>
          <w:sz w:val="22"/>
          <w:szCs w:val="22"/>
        </w:rPr>
        <w:t>, 11(20), pp. 11–20.</w:t>
      </w:r>
    </w:p>
    <w:p w14:paraId="1A4DBA8C" w14:textId="77777777" w:rsidR="00AD24A4" w:rsidRPr="007D706B" w:rsidRDefault="00AD24A4" w:rsidP="00AD24A4">
      <w:pPr>
        <w:pStyle w:val="NormalWeb"/>
        <w:spacing w:after="0" w:afterAutospacing="0"/>
        <w:rPr>
          <w:rFonts w:ascii="Arial" w:hAnsi="Arial" w:cs="Arial"/>
          <w:sz w:val="22"/>
          <w:szCs w:val="22"/>
        </w:rPr>
      </w:pPr>
      <w:r w:rsidRPr="007D706B">
        <w:rPr>
          <w:rFonts w:ascii="Arial" w:hAnsi="Arial" w:cs="Arial"/>
          <w:sz w:val="22"/>
          <w:szCs w:val="22"/>
        </w:rPr>
        <w:t xml:space="preserve">Johnson, R.E., Kerridge, G., Alderson, H., Currie, G., Friel, S., Harrop, C., Lynch, A., McGovern, R., Munro, E.R., Newlands, F. and Smart, D. (2024) ‘Mind the gap: Extending outcome measurement for accountability and meaningful innovation’, </w:t>
      </w:r>
      <w:r w:rsidRPr="007D706B">
        <w:rPr>
          <w:rStyle w:val="Emphasis"/>
          <w:rFonts w:ascii="Arial" w:eastAsiaTheme="majorEastAsia" w:hAnsi="Arial" w:cs="Arial"/>
          <w:sz w:val="22"/>
          <w:szCs w:val="22"/>
        </w:rPr>
        <w:t>The British Journal of Social Work</w:t>
      </w:r>
      <w:r w:rsidRPr="007D706B">
        <w:rPr>
          <w:rFonts w:ascii="Arial" w:hAnsi="Arial" w:cs="Arial"/>
          <w:sz w:val="22"/>
          <w:szCs w:val="22"/>
        </w:rPr>
        <w:t>, bcae020.</w:t>
      </w:r>
    </w:p>
    <w:p w14:paraId="32FA3D57" w14:textId="77777777" w:rsidR="00AD24A4" w:rsidRPr="007D706B" w:rsidRDefault="00AD24A4" w:rsidP="00AD24A4">
      <w:pPr>
        <w:pStyle w:val="NormalWeb"/>
        <w:spacing w:after="0" w:afterAutospacing="0"/>
        <w:rPr>
          <w:rFonts w:ascii="Arial" w:hAnsi="Arial" w:cs="Arial"/>
          <w:sz w:val="22"/>
          <w:szCs w:val="22"/>
        </w:rPr>
      </w:pPr>
      <w:r w:rsidRPr="007D706B">
        <w:rPr>
          <w:rFonts w:ascii="Arial" w:hAnsi="Arial" w:cs="Arial"/>
          <w:sz w:val="22"/>
          <w:szCs w:val="22"/>
        </w:rPr>
        <w:t xml:space="preserve">Lynch, A., Alderson, H., Kerridge, G., Johnson, R., McGovern, R., Newlands, F., Smart, D., Harrop, C. and Currie, G. (2021) ‘An inter-disciplinary perspective on evaluation of innovation to support care leavers’ transition’, </w:t>
      </w:r>
      <w:r w:rsidRPr="007D706B">
        <w:rPr>
          <w:rStyle w:val="Emphasis"/>
          <w:rFonts w:ascii="Arial" w:eastAsiaTheme="majorEastAsia" w:hAnsi="Arial" w:cs="Arial"/>
          <w:sz w:val="22"/>
          <w:szCs w:val="22"/>
        </w:rPr>
        <w:t>Journal of Child Services</w:t>
      </w:r>
      <w:r w:rsidRPr="007D706B">
        <w:rPr>
          <w:rFonts w:ascii="Arial" w:hAnsi="Arial" w:cs="Arial"/>
          <w:sz w:val="22"/>
          <w:szCs w:val="22"/>
        </w:rPr>
        <w:t>, 16(3), pp. 214–232.</w:t>
      </w:r>
    </w:p>
    <w:p w14:paraId="450FFA16" w14:textId="77777777" w:rsidR="00AD24A4" w:rsidRPr="007D706B" w:rsidRDefault="00AD24A4" w:rsidP="00AD24A4">
      <w:pPr>
        <w:pStyle w:val="NormalWeb"/>
        <w:spacing w:after="0" w:afterAutospacing="0"/>
        <w:rPr>
          <w:rFonts w:ascii="Arial" w:hAnsi="Arial" w:cs="Arial"/>
          <w:sz w:val="22"/>
          <w:szCs w:val="22"/>
        </w:rPr>
      </w:pPr>
      <w:r w:rsidRPr="007D706B">
        <w:rPr>
          <w:rFonts w:ascii="Arial" w:hAnsi="Arial" w:cs="Arial"/>
          <w:sz w:val="22"/>
          <w:szCs w:val="22"/>
        </w:rPr>
        <w:t xml:space="preserve">Lynch, A., Mohamoud, J., Munro, E.R. and Currie, G. (2024) </w:t>
      </w:r>
      <w:r w:rsidRPr="007D706B">
        <w:rPr>
          <w:rStyle w:val="Emphasis"/>
          <w:rFonts w:ascii="Arial" w:eastAsiaTheme="majorEastAsia" w:hAnsi="Arial" w:cs="Arial"/>
          <w:sz w:val="22"/>
          <w:szCs w:val="22"/>
        </w:rPr>
        <w:t>Exploring innovation in transitions, National House Project case study final report</w:t>
      </w:r>
      <w:r w:rsidRPr="007D706B">
        <w:rPr>
          <w:rFonts w:ascii="Arial" w:hAnsi="Arial" w:cs="Arial"/>
          <w:sz w:val="22"/>
          <w:szCs w:val="22"/>
        </w:rPr>
        <w:t>. Available at: https://thehouseproject.org/resources/EXIT_NHP_FINAL%20REPORT_June_24.pdf</w:t>
      </w:r>
    </w:p>
    <w:p w14:paraId="10FA02C6" w14:textId="77777777" w:rsidR="00AD24A4" w:rsidRPr="007D706B" w:rsidRDefault="00AD24A4" w:rsidP="00AD24A4">
      <w:pPr>
        <w:pStyle w:val="NormalWeb"/>
        <w:spacing w:after="0" w:afterAutospacing="0"/>
        <w:rPr>
          <w:rFonts w:ascii="Arial" w:hAnsi="Arial" w:cs="Arial"/>
          <w:sz w:val="22"/>
          <w:szCs w:val="22"/>
        </w:rPr>
      </w:pPr>
      <w:r w:rsidRPr="007D706B">
        <w:rPr>
          <w:rFonts w:ascii="Arial" w:hAnsi="Arial" w:cs="Arial"/>
          <w:sz w:val="22"/>
          <w:szCs w:val="22"/>
        </w:rPr>
        <w:t xml:space="preserve">Macgregor, A. (2025) </w:t>
      </w:r>
      <w:r w:rsidRPr="007D706B">
        <w:rPr>
          <w:rStyle w:val="Emphasis"/>
          <w:rFonts w:ascii="Arial" w:eastAsiaTheme="majorEastAsia" w:hAnsi="Arial" w:cs="Arial"/>
          <w:sz w:val="22"/>
          <w:szCs w:val="22"/>
        </w:rPr>
        <w:t>Supporting care leavers transitioning to adulthood: Evidence review</w:t>
      </w:r>
      <w:r w:rsidRPr="007D706B">
        <w:rPr>
          <w:rFonts w:ascii="Arial" w:hAnsi="Arial" w:cs="Arial"/>
          <w:sz w:val="22"/>
          <w:szCs w:val="22"/>
        </w:rPr>
        <w:t xml:space="preserve">. IMPACT. Available at: </w:t>
      </w:r>
      <w:hyperlink r:id="rId24" w:tgtFrame="_new" w:history="1">
        <w:r w:rsidRPr="007D706B">
          <w:rPr>
            <w:rStyle w:val="Hyperlink"/>
            <w:rFonts w:ascii="Arial" w:eastAsiaTheme="majorEastAsia" w:hAnsi="Arial" w:cs="Arial"/>
            <w:sz w:val="22"/>
            <w:szCs w:val="22"/>
          </w:rPr>
          <w:t>https://impact.bham.ac.uk/wp-content/uploads/2024/12/Transitions-to-adulthood-for-care-leavers.docx</w:t>
        </w:r>
      </w:hyperlink>
    </w:p>
    <w:p w14:paraId="6249252B" w14:textId="77777777" w:rsidR="00AD24A4" w:rsidRPr="007D706B" w:rsidRDefault="00AD24A4" w:rsidP="00AD24A4">
      <w:pPr>
        <w:pStyle w:val="NormalWeb"/>
        <w:spacing w:after="0" w:afterAutospacing="0"/>
        <w:rPr>
          <w:rFonts w:ascii="Arial" w:hAnsi="Arial" w:cs="Arial"/>
          <w:sz w:val="22"/>
          <w:szCs w:val="22"/>
        </w:rPr>
      </w:pPr>
      <w:r w:rsidRPr="007D706B">
        <w:rPr>
          <w:rFonts w:ascii="Arial" w:hAnsi="Arial" w:cs="Arial"/>
          <w:sz w:val="22"/>
          <w:szCs w:val="22"/>
        </w:rPr>
        <w:t xml:space="preserve">National House Project (n.d.) </w:t>
      </w:r>
      <w:r w:rsidRPr="007D706B">
        <w:rPr>
          <w:rStyle w:val="Emphasis"/>
          <w:rFonts w:ascii="Arial" w:eastAsiaTheme="majorEastAsia" w:hAnsi="Arial" w:cs="Arial"/>
          <w:sz w:val="22"/>
          <w:szCs w:val="22"/>
        </w:rPr>
        <w:t>ORCHIDS framework</w:t>
      </w:r>
      <w:r w:rsidRPr="007D706B">
        <w:rPr>
          <w:rFonts w:ascii="Arial" w:hAnsi="Arial" w:cs="Arial"/>
          <w:sz w:val="22"/>
          <w:szCs w:val="22"/>
        </w:rPr>
        <w:t xml:space="preserve">. Available at: </w:t>
      </w:r>
      <w:hyperlink r:id="rId25" w:tgtFrame="_new" w:history="1">
        <w:r w:rsidRPr="007D706B">
          <w:rPr>
            <w:rStyle w:val="Hyperlink"/>
            <w:rFonts w:ascii="Arial" w:eastAsiaTheme="majorEastAsia" w:hAnsi="Arial" w:cs="Arial"/>
            <w:sz w:val="22"/>
            <w:szCs w:val="22"/>
          </w:rPr>
          <w:t>https://thehouseproject.org</w:t>
        </w:r>
      </w:hyperlink>
    </w:p>
    <w:p w14:paraId="2B23C827" w14:textId="77777777" w:rsidR="00AD24A4" w:rsidRPr="007D706B" w:rsidRDefault="00AD24A4" w:rsidP="00AD24A4">
      <w:pPr>
        <w:pStyle w:val="NormalWeb"/>
        <w:spacing w:after="0" w:afterAutospacing="0"/>
        <w:rPr>
          <w:rFonts w:ascii="Arial" w:hAnsi="Arial" w:cs="Arial"/>
          <w:sz w:val="22"/>
          <w:szCs w:val="22"/>
        </w:rPr>
      </w:pPr>
      <w:r w:rsidRPr="007D706B">
        <w:rPr>
          <w:rFonts w:ascii="Arial" w:hAnsi="Arial" w:cs="Arial"/>
          <w:sz w:val="22"/>
          <w:szCs w:val="22"/>
        </w:rPr>
        <w:t xml:space="preserve">National House Project (n.d.) </w:t>
      </w:r>
      <w:r w:rsidRPr="007D706B">
        <w:rPr>
          <w:rStyle w:val="Emphasis"/>
          <w:rFonts w:ascii="Arial" w:eastAsiaTheme="majorEastAsia" w:hAnsi="Arial" w:cs="Arial"/>
          <w:sz w:val="22"/>
          <w:szCs w:val="22"/>
        </w:rPr>
        <w:t>Psychological framework</w:t>
      </w:r>
      <w:r w:rsidRPr="007D706B">
        <w:rPr>
          <w:rFonts w:ascii="Arial" w:hAnsi="Arial" w:cs="Arial"/>
          <w:sz w:val="22"/>
          <w:szCs w:val="22"/>
        </w:rPr>
        <w:t xml:space="preserve">. Available at: </w:t>
      </w:r>
      <w:hyperlink r:id="rId26" w:history="1">
        <w:r w:rsidRPr="007D706B">
          <w:rPr>
            <w:rStyle w:val="Hyperlink"/>
            <w:rFonts w:ascii="Arial" w:hAnsi="Arial" w:cs="Arial"/>
            <w:sz w:val="22"/>
            <w:szCs w:val="22"/>
          </w:rPr>
          <w:t>https://thehouseproject.org/resources/NHPPsychologicalFramework.pdf</w:t>
        </w:r>
      </w:hyperlink>
    </w:p>
    <w:p w14:paraId="16C2385E" w14:textId="77777777" w:rsidR="00AD24A4" w:rsidRPr="007D706B" w:rsidRDefault="00AD24A4" w:rsidP="00AD24A4">
      <w:pPr>
        <w:pStyle w:val="NormalWeb"/>
        <w:spacing w:after="0" w:afterAutospacing="0"/>
        <w:rPr>
          <w:rFonts w:ascii="Arial" w:hAnsi="Arial" w:cs="Arial"/>
          <w:sz w:val="22"/>
          <w:szCs w:val="22"/>
        </w:rPr>
      </w:pPr>
      <w:r w:rsidRPr="007D706B">
        <w:rPr>
          <w:rFonts w:ascii="Arial" w:hAnsi="Arial" w:cs="Arial"/>
          <w:sz w:val="22"/>
          <w:szCs w:val="22"/>
        </w:rPr>
        <w:t xml:space="preserve">Needham, C. and Carr, S. (2009) </w:t>
      </w:r>
      <w:r w:rsidRPr="007D706B">
        <w:rPr>
          <w:rStyle w:val="Emphasis"/>
          <w:rFonts w:ascii="Arial" w:eastAsiaTheme="majorEastAsia" w:hAnsi="Arial" w:cs="Arial"/>
          <w:sz w:val="22"/>
          <w:szCs w:val="22"/>
        </w:rPr>
        <w:t>Co-production: An emerging evidence base for adult social care transformation</w:t>
      </w:r>
      <w:r w:rsidRPr="007D706B">
        <w:rPr>
          <w:rFonts w:ascii="Arial" w:hAnsi="Arial" w:cs="Arial"/>
          <w:sz w:val="22"/>
          <w:szCs w:val="22"/>
        </w:rPr>
        <w:t xml:space="preserve">. SCIE. Available at: </w:t>
      </w:r>
      <w:hyperlink r:id="rId27" w:tgtFrame="_new" w:history="1">
        <w:r w:rsidRPr="007D706B">
          <w:rPr>
            <w:rStyle w:val="Hyperlink"/>
            <w:rFonts w:ascii="Arial" w:eastAsiaTheme="majorEastAsia" w:hAnsi="Arial" w:cs="Arial"/>
            <w:sz w:val="22"/>
            <w:szCs w:val="22"/>
          </w:rPr>
          <w:t>https://www.researchgate.net/publication/237126419_Co_production_An_Emerging_Evidence_Base_for_Adult_Social_Care_Transformation</w:t>
        </w:r>
      </w:hyperlink>
    </w:p>
    <w:p w14:paraId="33F92A77" w14:textId="77777777" w:rsidR="00AD24A4" w:rsidRPr="007D706B" w:rsidRDefault="00AD24A4" w:rsidP="00AD24A4">
      <w:pPr>
        <w:pStyle w:val="NormalWeb"/>
        <w:spacing w:after="0" w:afterAutospacing="0"/>
        <w:rPr>
          <w:rFonts w:ascii="Arial" w:hAnsi="Arial" w:cs="Arial"/>
          <w:sz w:val="22"/>
          <w:szCs w:val="22"/>
        </w:rPr>
      </w:pPr>
      <w:r w:rsidRPr="007D706B">
        <w:rPr>
          <w:rFonts w:ascii="Arial" w:hAnsi="Arial" w:cs="Arial"/>
          <w:sz w:val="22"/>
          <w:szCs w:val="22"/>
        </w:rPr>
        <w:t xml:space="preserve">Palmer, A., Norris, M. and Kelleher, J. (2022) ‘Accelerated adulthood, extended adolescence and the care cliff: Supporting care leavers’ transition from care to independent living’, </w:t>
      </w:r>
      <w:r w:rsidRPr="007D706B">
        <w:rPr>
          <w:rStyle w:val="Emphasis"/>
          <w:rFonts w:ascii="Arial" w:eastAsiaTheme="majorEastAsia" w:hAnsi="Arial" w:cs="Arial"/>
          <w:sz w:val="22"/>
          <w:szCs w:val="22"/>
        </w:rPr>
        <w:t>Child &amp; Family Social Work</w:t>
      </w:r>
      <w:r w:rsidRPr="007D706B">
        <w:rPr>
          <w:rFonts w:ascii="Arial" w:hAnsi="Arial" w:cs="Arial"/>
          <w:sz w:val="22"/>
          <w:szCs w:val="22"/>
        </w:rPr>
        <w:t>, 27(4), pp. 748–759.</w:t>
      </w:r>
    </w:p>
    <w:p w14:paraId="78DEF989" w14:textId="77777777" w:rsidR="00AD24A4" w:rsidRPr="007D706B" w:rsidRDefault="00AD24A4" w:rsidP="00AD24A4">
      <w:pPr>
        <w:pStyle w:val="NormalWeb"/>
        <w:spacing w:after="0" w:afterAutospacing="0"/>
        <w:rPr>
          <w:rFonts w:ascii="Arial" w:hAnsi="Arial" w:cs="Arial"/>
          <w:sz w:val="22"/>
          <w:szCs w:val="22"/>
        </w:rPr>
      </w:pPr>
      <w:r w:rsidRPr="007D706B">
        <w:rPr>
          <w:rFonts w:ascii="Arial" w:hAnsi="Arial" w:cs="Arial"/>
          <w:sz w:val="22"/>
          <w:szCs w:val="22"/>
        </w:rPr>
        <w:lastRenderedPageBreak/>
        <w:t xml:space="preserve">Pound, M. and Sims-Schouten, W. (2022) ‘A systematic review of the principles of co-production in relation to the mental health and wellbeing of care leavers’, </w:t>
      </w:r>
      <w:r w:rsidRPr="007D706B">
        <w:rPr>
          <w:rStyle w:val="Emphasis"/>
          <w:rFonts w:ascii="Arial" w:eastAsiaTheme="majorEastAsia" w:hAnsi="Arial" w:cs="Arial"/>
          <w:sz w:val="22"/>
          <w:szCs w:val="22"/>
        </w:rPr>
        <w:t>Journal of Emotional Education</w:t>
      </w:r>
      <w:r w:rsidRPr="007D706B">
        <w:rPr>
          <w:rFonts w:ascii="Arial" w:hAnsi="Arial" w:cs="Arial"/>
          <w:sz w:val="22"/>
          <w:szCs w:val="22"/>
        </w:rPr>
        <w:t>, 14(1), pp. 3–19.</w:t>
      </w:r>
    </w:p>
    <w:p w14:paraId="1D17E299" w14:textId="77777777" w:rsidR="00AD24A4" w:rsidRPr="007D706B" w:rsidRDefault="00AD24A4" w:rsidP="00AD24A4">
      <w:pPr>
        <w:pStyle w:val="NormalWeb"/>
        <w:spacing w:after="0" w:afterAutospacing="0"/>
        <w:rPr>
          <w:rFonts w:ascii="Arial" w:hAnsi="Arial" w:cs="Arial"/>
          <w:sz w:val="22"/>
          <w:szCs w:val="22"/>
        </w:rPr>
      </w:pPr>
      <w:r w:rsidRPr="007D706B">
        <w:rPr>
          <w:rFonts w:ascii="Arial" w:hAnsi="Arial" w:cs="Arial"/>
          <w:sz w:val="22"/>
          <w:szCs w:val="22"/>
        </w:rPr>
        <w:t xml:space="preserve">Prendergast, L., Davies, C., Seddon, D., Hartfiel, N. and Edwards, R.T. (2024) ‘Barriers and enablers to care-leavers’ engagement with multi-agency support: A scoping review’, </w:t>
      </w:r>
      <w:r w:rsidRPr="007D706B">
        <w:rPr>
          <w:rStyle w:val="Emphasis"/>
          <w:rFonts w:ascii="Arial" w:eastAsiaTheme="majorEastAsia" w:hAnsi="Arial" w:cs="Arial"/>
          <w:sz w:val="22"/>
          <w:szCs w:val="22"/>
        </w:rPr>
        <w:t>Children and Youth Services Review</w:t>
      </w:r>
      <w:r w:rsidRPr="007D706B">
        <w:rPr>
          <w:rFonts w:ascii="Arial" w:hAnsi="Arial" w:cs="Arial"/>
          <w:sz w:val="22"/>
          <w:szCs w:val="22"/>
        </w:rPr>
        <w:t>, 159, pp. 1–13.</w:t>
      </w:r>
    </w:p>
    <w:p w14:paraId="385CDBBA" w14:textId="77777777" w:rsidR="00AD24A4" w:rsidRPr="007D706B" w:rsidRDefault="00AD24A4" w:rsidP="00AD24A4">
      <w:pPr>
        <w:pStyle w:val="NormalWeb"/>
        <w:spacing w:after="0" w:afterAutospacing="0"/>
        <w:rPr>
          <w:rFonts w:ascii="Arial" w:hAnsi="Arial" w:cs="Arial"/>
          <w:sz w:val="22"/>
          <w:szCs w:val="22"/>
        </w:rPr>
      </w:pPr>
      <w:r w:rsidRPr="007D706B">
        <w:rPr>
          <w:rFonts w:ascii="Arial" w:hAnsi="Arial" w:cs="Arial"/>
          <w:sz w:val="22"/>
          <w:szCs w:val="22"/>
        </w:rPr>
        <w:t xml:space="preserve">Scourfield, P. (2014) ‘Implementing co-production in adult social care: an example of meta-governance failure?’, </w:t>
      </w:r>
      <w:r w:rsidRPr="007D706B">
        <w:rPr>
          <w:rStyle w:val="Emphasis"/>
          <w:rFonts w:ascii="Arial" w:eastAsiaTheme="majorEastAsia" w:hAnsi="Arial" w:cs="Arial"/>
          <w:sz w:val="22"/>
          <w:szCs w:val="22"/>
        </w:rPr>
        <w:t>Social Policy and Society</w:t>
      </w:r>
      <w:r w:rsidRPr="007D706B">
        <w:rPr>
          <w:rFonts w:ascii="Arial" w:hAnsi="Arial" w:cs="Arial"/>
          <w:sz w:val="22"/>
          <w:szCs w:val="22"/>
        </w:rPr>
        <w:t>, 14(4), pp. 541–554.</w:t>
      </w:r>
    </w:p>
    <w:p w14:paraId="5D6647BC" w14:textId="77777777" w:rsidR="00AD24A4" w:rsidRPr="007D706B" w:rsidRDefault="00AD24A4" w:rsidP="00AD24A4">
      <w:pPr>
        <w:pStyle w:val="NormalWeb"/>
        <w:spacing w:after="0" w:afterAutospacing="0"/>
        <w:rPr>
          <w:rFonts w:ascii="Arial" w:hAnsi="Arial" w:cs="Arial"/>
          <w:sz w:val="22"/>
          <w:szCs w:val="22"/>
        </w:rPr>
      </w:pPr>
      <w:r w:rsidRPr="007D706B">
        <w:rPr>
          <w:rFonts w:ascii="Arial" w:hAnsi="Arial" w:cs="Arial"/>
          <w:sz w:val="22"/>
          <w:szCs w:val="22"/>
        </w:rPr>
        <w:t xml:space="preserve">Smart, D. and Alderson, H. (2020) </w:t>
      </w:r>
      <w:r w:rsidRPr="007D706B">
        <w:rPr>
          <w:rStyle w:val="Emphasis"/>
          <w:rFonts w:ascii="Arial" w:eastAsiaTheme="majorEastAsia" w:hAnsi="Arial" w:cs="Arial"/>
          <w:sz w:val="22"/>
          <w:szCs w:val="22"/>
        </w:rPr>
        <w:t>Exploring innovation in transition (EXIT) for young people leaving care: A scoping review of innovation in the UK (2010–2020) summary report</w:t>
      </w:r>
      <w:r w:rsidRPr="007D706B">
        <w:rPr>
          <w:rFonts w:ascii="Arial" w:hAnsi="Arial" w:cs="Arial"/>
          <w:sz w:val="22"/>
          <w:szCs w:val="22"/>
        </w:rPr>
        <w:t>. University of Warwick. Available at: https://warwick.ac.uk/fac/soc/hscr/research/currentprojects/exit/</w:t>
      </w:r>
    </w:p>
    <w:p w14:paraId="37DAD6FB" w14:textId="77777777" w:rsidR="00AD24A4" w:rsidRPr="007D706B" w:rsidRDefault="00AD24A4" w:rsidP="00AD24A4">
      <w:pPr>
        <w:pStyle w:val="NormalWeb"/>
        <w:spacing w:after="0" w:afterAutospacing="0"/>
        <w:rPr>
          <w:rFonts w:ascii="Arial" w:hAnsi="Arial" w:cs="Arial"/>
          <w:sz w:val="22"/>
          <w:szCs w:val="22"/>
        </w:rPr>
      </w:pPr>
      <w:r w:rsidRPr="007D706B">
        <w:rPr>
          <w:rFonts w:ascii="Arial" w:hAnsi="Arial" w:cs="Arial"/>
          <w:sz w:val="22"/>
          <w:szCs w:val="22"/>
        </w:rPr>
        <w:t xml:space="preserve">Stein, M. (2012) </w:t>
      </w:r>
      <w:r w:rsidRPr="007D706B">
        <w:rPr>
          <w:rStyle w:val="Emphasis"/>
          <w:rFonts w:ascii="Arial" w:eastAsiaTheme="majorEastAsia" w:hAnsi="Arial" w:cs="Arial"/>
          <w:sz w:val="22"/>
          <w:szCs w:val="22"/>
        </w:rPr>
        <w:t>Young people leaving care: Supporting pathways to adulthood</w:t>
      </w:r>
      <w:r w:rsidRPr="007D706B">
        <w:rPr>
          <w:rFonts w:ascii="Arial" w:hAnsi="Arial" w:cs="Arial"/>
          <w:sz w:val="22"/>
          <w:szCs w:val="22"/>
        </w:rPr>
        <w:t>. London: Jessica Kingsley Publishers.</w:t>
      </w:r>
    </w:p>
    <w:p w14:paraId="6176334C" w14:textId="77777777" w:rsidR="00AD24A4" w:rsidRPr="007D706B" w:rsidRDefault="00AD24A4" w:rsidP="00AD24A4">
      <w:pPr>
        <w:pStyle w:val="NormalWeb"/>
        <w:spacing w:after="0" w:afterAutospacing="0"/>
        <w:rPr>
          <w:rFonts w:ascii="Arial" w:hAnsi="Arial" w:cs="Arial"/>
          <w:sz w:val="22"/>
          <w:szCs w:val="22"/>
        </w:rPr>
      </w:pPr>
      <w:r w:rsidRPr="007D706B">
        <w:rPr>
          <w:rFonts w:ascii="Arial" w:hAnsi="Arial" w:cs="Arial"/>
          <w:sz w:val="22"/>
          <w:szCs w:val="22"/>
        </w:rPr>
        <w:t xml:space="preserve">TICP Checklist (2018) </w:t>
      </w:r>
      <w:r w:rsidRPr="007D706B">
        <w:rPr>
          <w:rStyle w:val="Emphasis"/>
          <w:rFonts w:ascii="Arial" w:eastAsiaTheme="majorEastAsia" w:hAnsi="Arial" w:cs="Arial"/>
          <w:sz w:val="22"/>
          <w:szCs w:val="22"/>
        </w:rPr>
        <w:t>A trauma-informed approach for events and consultations</w:t>
      </w:r>
      <w:r w:rsidRPr="007D706B">
        <w:rPr>
          <w:rFonts w:ascii="Arial" w:hAnsi="Arial" w:cs="Arial"/>
          <w:sz w:val="22"/>
          <w:szCs w:val="22"/>
        </w:rPr>
        <w:t xml:space="preserve">. Mental Health Coordinating Council. TICP_Checklist_v2_20180131.indd </w:t>
      </w:r>
    </w:p>
    <w:p w14:paraId="3E041F78" w14:textId="63A8E38C" w:rsidR="00AD24A4" w:rsidRPr="00AD24A4" w:rsidRDefault="00AD24A4" w:rsidP="00AD24A4">
      <w:pPr>
        <w:pStyle w:val="NormalWeb"/>
        <w:spacing w:after="0" w:afterAutospacing="0"/>
        <w:rPr>
          <w:rFonts w:ascii="Arial" w:hAnsi="Arial" w:cs="Arial"/>
          <w:sz w:val="22"/>
          <w:szCs w:val="22"/>
        </w:rPr>
      </w:pPr>
      <w:r w:rsidRPr="007D706B">
        <w:rPr>
          <w:rFonts w:ascii="Arial" w:hAnsi="Arial" w:cs="Arial"/>
          <w:sz w:val="22"/>
          <w:szCs w:val="22"/>
        </w:rPr>
        <w:t xml:space="preserve">The Promise (n.d.) </w:t>
      </w:r>
      <w:r w:rsidRPr="007D706B">
        <w:rPr>
          <w:rStyle w:val="Emphasis"/>
          <w:rFonts w:ascii="Arial" w:eastAsiaTheme="majorEastAsia" w:hAnsi="Arial" w:cs="Arial"/>
          <w:sz w:val="22"/>
          <w:szCs w:val="22"/>
        </w:rPr>
        <w:t>Design Knowledge Board Tool and other open access tools</w:t>
      </w:r>
      <w:r w:rsidRPr="007D706B">
        <w:rPr>
          <w:rFonts w:ascii="Arial" w:hAnsi="Arial" w:cs="Arial"/>
          <w:sz w:val="22"/>
          <w:szCs w:val="22"/>
        </w:rPr>
        <w:t>. Available at: https://thepromise.scot</w:t>
      </w:r>
    </w:p>
    <w:sectPr w:rsidR="00AD24A4" w:rsidRPr="00AD24A4" w:rsidSect="002F0D93">
      <w:headerReference w:type="default" r:id="rId28"/>
      <w:footerReference w:type="default" r:id="rId29"/>
      <w:pgSz w:w="11906" w:h="16838"/>
      <w:pgMar w:top="2127"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5135DF" w14:textId="77777777" w:rsidR="00B67239" w:rsidRDefault="00B67239" w:rsidP="00BF47F5">
      <w:pPr>
        <w:spacing w:after="0" w:line="240" w:lineRule="auto"/>
      </w:pPr>
      <w:r>
        <w:separator/>
      </w:r>
    </w:p>
  </w:endnote>
  <w:endnote w:type="continuationSeparator" w:id="0">
    <w:p w14:paraId="325757A4" w14:textId="77777777" w:rsidR="00B67239" w:rsidRDefault="00B67239" w:rsidP="00BF47F5">
      <w:pPr>
        <w:spacing w:after="0" w:line="240" w:lineRule="auto"/>
      </w:pPr>
      <w:r>
        <w:continuationSeparator/>
      </w:r>
    </w:p>
  </w:endnote>
  <w:endnote w:type="continuationNotice" w:id="1">
    <w:p w14:paraId="6EE5D73C" w14:textId="77777777" w:rsidR="00B67239" w:rsidRDefault="00B6723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280371"/>
      <w:docPartObj>
        <w:docPartGallery w:val="Page Numbers (Bottom of Page)"/>
        <w:docPartUnique/>
      </w:docPartObj>
    </w:sdtPr>
    <w:sdtEndPr>
      <w:rPr>
        <w:noProof/>
      </w:rPr>
    </w:sdtEndPr>
    <w:sdtContent>
      <w:p w14:paraId="1F9759FD" w14:textId="3DC04932" w:rsidR="004C147C" w:rsidRDefault="004C147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A6E96CB" w14:textId="77777777" w:rsidR="00BF47F5" w:rsidRDefault="00BF47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0015D5" w14:textId="77777777" w:rsidR="00B67239" w:rsidRDefault="00B67239" w:rsidP="00BF47F5">
      <w:pPr>
        <w:spacing w:after="0" w:line="240" w:lineRule="auto"/>
      </w:pPr>
      <w:r>
        <w:separator/>
      </w:r>
    </w:p>
  </w:footnote>
  <w:footnote w:type="continuationSeparator" w:id="0">
    <w:p w14:paraId="73A1559A" w14:textId="77777777" w:rsidR="00B67239" w:rsidRDefault="00B67239" w:rsidP="00BF47F5">
      <w:pPr>
        <w:spacing w:after="0" w:line="240" w:lineRule="auto"/>
      </w:pPr>
      <w:r>
        <w:continuationSeparator/>
      </w:r>
    </w:p>
  </w:footnote>
  <w:footnote w:type="continuationNotice" w:id="1">
    <w:p w14:paraId="20481EF0" w14:textId="77777777" w:rsidR="00B67239" w:rsidRDefault="00B6723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D76BF" w14:textId="079AF711" w:rsidR="002F0D93" w:rsidRDefault="002176DA" w:rsidP="002F0D93">
    <w:pPr>
      <w:pStyle w:val="Default"/>
    </w:pPr>
    <w:r>
      <w:rPr>
        <w:rFonts w:ascii="Times New Roman" w:hAnsi="Times New Roman" w:cs="Times New Roman"/>
        <w:noProof/>
        <w:lang w:eastAsia="en-GB"/>
      </w:rPr>
      <mc:AlternateContent>
        <mc:Choice Requires="wps">
          <w:drawing>
            <wp:anchor distT="45720" distB="45720" distL="114300" distR="114300" simplePos="0" relativeHeight="251659264" behindDoc="0" locked="0" layoutInCell="1" allowOverlap="1" wp14:anchorId="15BB0B10" wp14:editId="13350305">
              <wp:simplePos x="0" y="0"/>
              <wp:positionH relativeFrom="margin">
                <wp:align>left</wp:align>
              </wp:positionH>
              <wp:positionV relativeFrom="paragraph">
                <wp:posOffset>9525</wp:posOffset>
              </wp:positionV>
              <wp:extent cx="2905125" cy="58102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5125" cy="581025"/>
                      </a:xfrm>
                      <a:prstGeom prst="rect">
                        <a:avLst/>
                      </a:prstGeom>
                      <a:noFill/>
                      <a:ln w="9525">
                        <a:noFill/>
                        <a:miter lim="800000"/>
                        <a:headEnd/>
                        <a:tailEnd/>
                      </a:ln>
                    </wps:spPr>
                    <wps:txbx>
                      <w:txbxContent>
                        <w:p w14:paraId="0CF37624" w14:textId="77777777" w:rsidR="00801DA4" w:rsidRDefault="00801DA4" w:rsidP="00801DA4">
                          <w:pPr>
                            <w:pStyle w:val="Header"/>
                            <w:rPr>
                              <w:rFonts w:ascii="Arial Black" w:hAnsi="Arial Black"/>
                              <w:color w:val="A84D98"/>
                            </w:rPr>
                          </w:pPr>
                          <w:r>
                            <w:rPr>
                              <w:rFonts w:ascii="Arial Black" w:hAnsi="Arial Black"/>
                              <w:color w:val="A84D98"/>
                            </w:rPr>
                            <w:t xml:space="preserve">“Good support isn’t just about </w:t>
                          </w:r>
                        </w:p>
                        <w:p w14:paraId="7307ED1C" w14:textId="77777777" w:rsidR="00801DA4" w:rsidRDefault="00801DA4" w:rsidP="00801DA4">
                          <w:pPr>
                            <w:pStyle w:val="Header"/>
                            <w:rPr>
                              <w:rFonts w:ascii="Arial Black" w:hAnsi="Arial Black"/>
                              <w:color w:val="A84D98"/>
                            </w:rPr>
                          </w:pPr>
                          <w:r>
                            <w:rPr>
                              <w:rFonts w:ascii="Arial Black" w:hAnsi="Arial Black"/>
                              <w:color w:val="A84D98"/>
                            </w:rPr>
                            <w:t>‘services’ – it’s about having a life.”</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5BB0B10" id="_x0000_t202" coordsize="21600,21600" o:spt="202" path="m,l,21600r21600,l21600,xe">
              <v:stroke joinstyle="miter"/>
              <v:path gradientshapeok="t" o:connecttype="rect"/>
            </v:shapetype>
            <v:shape id="Text Box 2" o:spid="_x0000_s1026" type="#_x0000_t202" style="position:absolute;margin-left:0;margin-top:.75pt;width:228.75pt;height:45.7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" filled="f" stroked="f">
              <v:textbox>
                <w:txbxContent>
                  <w:p w14:paraId="0CF37624" w14:textId="77777777" w:rsidR="00801DA4" w:rsidRDefault="00801DA4" w:rsidP="00801DA4">
                    <w:pPr>
                      <w:pStyle w:val="Header"/>
                      <w:rPr>
                        <w:rFonts w:ascii="Arial Black" w:hAnsi="Arial Black"/>
                        <w:color w:val="A84D98"/>
                      </w:rPr>
                    </w:pPr>
                    <w:r>
                      <w:rPr>
                        <w:rFonts w:ascii="Arial Black" w:hAnsi="Arial Black"/>
                        <w:color w:val="A84D98"/>
                      </w:rPr>
                      <w:t xml:space="preserve">“Good support isn’t just about </w:t>
                    </w:r>
                  </w:p>
                  <w:p w14:paraId="7307ED1C" w14:textId="77777777" w:rsidR="00801DA4" w:rsidRDefault="00801DA4" w:rsidP="00801DA4">
                    <w:pPr>
                      <w:pStyle w:val="Header"/>
                      <w:rPr>
                        <w:rFonts w:ascii="Arial Black" w:hAnsi="Arial Black"/>
                        <w:color w:val="A84D98"/>
                      </w:rPr>
                    </w:pPr>
                    <w:r>
                      <w:rPr>
                        <w:rFonts w:ascii="Arial Black" w:hAnsi="Arial Black"/>
                        <w:color w:val="A84D98"/>
                      </w:rPr>
                      <w:t>‘services’ – it’s about having a life.”</w:t>
                    </w:r>
                  </w:p>
                </w:txbxContent>
              </v:textbox>
              <w10:wrap type="square" anchorx="margin"/>
            </v:shape>
          </w:pict>
        </mc:Fallback>
      </mc:AlternateContent>
    </w:r>
    <w:r>
      <w:rPr>
        <w:noProof/>
      </w:rPr>
      <w:drawing>
        <wp:anchor distT="0" distB="0" distL="114300" distR="114300" simplePos="0" relativeHeight="251658240" behindDoc="0" locked="0" layoutInCell="1" allowOverlap="1" wp14:anchorId="43A430DD" wp14:editId="65BC7FA7">
          <wp:simplePos x="0" y="0"/>
          <wp:positionH relativeFrom="column">
            <wp:posOffset>3803650</wp:posOffset>
          </wp:positionH>
          <wp:positionV relativeFrom="paragraph">
            <wp:posOffset>-273685</wp:posOffset>
          </wp:positionV>
          <wp:extent cx="2329815" cy="945515"/>
          <wp:effectExtent l="0" t="0" r="0" b="6985"/>
          <wp:wrapSquare wrapText="bothSides"/>
          <wp:docPr id="5225646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372143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29815" cy="945515"/>
                  </a:xfrm>
                  <a:prstGeom prst="rect">
                    <a:avLst/>
                  </a:prstGeom>
                  <a:noFill/>
                </pic:spPr>
              </pic:pic>
            </a:graphicData>
          </a:graphic>
          <wp14:sizeRelH relativeFrom="margin">
            <wp14:pctWidth>0</wp14:pctWidth>
          </wp14:sizeRelH>
          <wp14:sizeRelV relativeFrom="margin">
            <wp14:pctHeight>0</wp14:pctHeight>
          </wp14:sizeRelV>
        </wp:anchor>
      </w:drawing>
    </w:r>
  </w:p>
  <w:p w14:paraId="44EE906D" w14:textId="70C3940D" w:rsidR="00DC2FDA" w:rsidRDefault="00DC2FDA" w:rsidP="002F0D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A7C5D"/>
    <w:multiLevelType w:val="hybridMultilevel"/>
    <w:tmpl w:val="9774AE2E"/>
    <w:lvl w:ilvl="0" w:tplc="08090001">
      <w:start w:val="1"/>
      <w:numFmt w:val="bullet"/>
      <w:lvlText w:val=""/>
      <w:lvlJc w:val="left"/>
      <w:pPr>
        <w:ind w:left="360" w:hanging="360"/>
      </w:pPr>
      <w:rPr>
        <w:rFonts w:ascii="Symbol" w:hAnsi="Symbol" w:hint="default"/>
      </w:rPr>
    </w:lvl>
    <w:lvl w:ilvl="1" w:tplc="85B01C88">
      <w:numFmt w:val="bullet"/>
      <w:lvlText w:val="·"/>
      <w:lvlJc w:val="left"/>
      <w:pPr>
        <w:ind w:left="1130" w:hanging="410"/>
      </w:pPr>
      <w:rPr>
        <w:rFonts w:ascii="Aptos" w:eastAsiaTheme="minorEastAsia" w:hAnsi="Aptos" w:cstheme="minorBid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22208D8"/>
    <w:multiLevelType w:val="hybridMultilevel"/>
    <w:tmpl w:val="CA0A87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98B528A"/>
    <w:multiLevelType w:val="hybridMultilevel"/>
    <w:tmpl w:val="5F862122"/>
    <w:lvl w:ilvl="0" w:tplc="465CBEAE">
      <w:start w:val="31"/>
      <w:numFmt w:val="bullet"/>
      <w:lvlText w:val="-"/>
      <w:lvlJc w:val="left"/>
      <w:pPr>
        <w:tabs>
          <w:tab w:val="num" w:pos="720"/>
        </w:tabs>
        <w:ind w:left="720" w:hanging="360"/>
      </w:pPr>
      <w:rPr>
        <w:rFonts w:ascii="Calibri" w:eastAsiaTheme="minorHAnsi" w:hAnsi="Calibri" w:cs="Calibri" w:hint="default"/>
      </w:rPr>
    </w:lvl>
    <w:lvl w:ilvl="1" w:tplc="FFFFFFFF">
      <w:start w:val="1"/>
      <w:numFmt w:val="bullet"/>
      <w:lvlText w:val=""/>
      <w:lvlJc w:val="left"/>
      <w:pPr>
        <w:ind w:left="720" w:hanging="360"/>
      </w:pPr>
      <w:rPr>
        <w:rFonts w:ascii="Symbol" w:hAnsi="Symbol" w:hint="default"/>
      </w:rPr>
    </w:lvl>
    <w:lvl w:ilvl="2" w:tplc="FFFFFFFF" w:tentative="1">
      <w:start w:val="1"/>
      <w:numFmt w:val="bullet"/>
      <w:lvlText w:val="o"/>
      <w:lvlJc w:val="left"/>
      <w:pPr>
        <w:tabs>
          <w:tab w:val="num" w:pos="2160"/>
        </w:tabs>
        <w:ind w:left="2160" w:hanging="360"/>
      </w:pPr>
      <w:rPr>
        <w:rFonts w:ascii="Courier New" w:hAnsi="Courier New" w:hint="default"/>
      </w:rPr>
    </w:lvl>
    <w:lvl w:ilvl="3" w:tplc="FFFFFFFF" w:tentative="1">
      <w:start w:val="1"/>
      <w:numFmt w:val="bullet"/>
      <w:lvlText w:val="o"/>
      <w:lvlJc w:val="left"/>
      <w:pPr>
        <w:tabs>
          <w:tab w:val="num" w:pos="2880"/>
        </w:tabs>
        <w:ind w:left="2880" w:hanging="360"/>
      </w:pPr>
      <w:rPr>
        <w:rFonts w:ascii="Courier New" w:hAnsi="Courier New"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o"/>
      <w:lvlJc w:val="left"/>
      <w:pPr>
        <w:tabs>
          <w:tab w:val="num" w:pos="4320"/>
        </w:tabs>
        <w:ind w:left="4320" w:hanging="360"/>
      </w:pPr>
      <w:rPr>
        <w:rFonts w:ascii="Courier New" w:hAnsi="Courier New" w:hint="default"/>
      </w:rPr>
    </w:lvl>
    <w:lvl w:ilvl="6" w:tplc="FFFFFFFF" w:tentative="1">
      <w:start w:val="1"/>
      <w:numFmt w:val="bullet"/>
      <w:lvlText w:val="o"/>
      <w:lvlJc w:val="left"/>
      <w:pPr>
        <w:tabs>
          <w:tab w:val="num" w:pos="5040"/>
        </w:tabs>
        <w:ind w:left="5040" w:hanging="360"/>
      </w:pPr>
      <w:rPr>
        <w:rFonts w:ascii="Courier New" w:hAnsi="Courier New"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o"/>
      <w:lvlJc w:val="left"/>
      <w:pPr>
        <w:tabs>
          <w:tab w:val="num" w:pos="6480"/>
        </w:tabs>
        <w:ind w:left="6480" w:hanging="360"/>
      </w:pPr>
      <w:rPr>
        <w:rFonts w:ascii="Courier New" w:hAnsi="Courier New" w:hint="default"/>
      </w:rPr>
    </w:lvl>
  </w:abstractNum>
  <w:abstractNum w:abstractNumId="3" w15:restartNumberingAfterBreak="0">
    <w:nsid w:val="0CB36600"/>
    <w:multiLevelType w:val="hybridMultilevel"/>
    <w:tmpl w:val="C83AD570"/>
    <w:lvl w:ilvl="0" w:tplc="465CBEAE">
      <w:start w:val="3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F36D2B"/>
    <w:multiLevelType w:val="multilevel"/>
    <w:tmpl w:val="92E4DD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6C779DC"/>
    <w:multiLevelType w:val="hybridMultilevel"/>
    <w:tmpl w:val="98F8E4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77632FD"/>
    <w:multiLevelType w:val="hybridMultilevel"/>
    <w:tmpl w:val="A18A95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BE97695"/>
    <w:multiLevelType w:val="hybridMultilevel"/>
    <w:tmpl w:val="F3F21E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BF94355"/>
    <w:multiLevelType w:val="hybridMultilevel"/>
    <w:tmpl w:val="8EA498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E8751CC"/>
    <w:multiLevelType w:val="hybridMultilevel"/>
    <w:tmpl w:val="BB9E29F4"/>
    <w:lvl w:ilvl="0" w:tplc="465CBEAE">
      <w:start w:val="31"/>
      <w:numFmt w:val="bullet"/>
      <w:lvlText w:val="-"/>
      <w:lvlJc w:val="left"/>
      <w:pPr>
        <w:tabs>
          <w:tab w:val="num" w:pos="1080"/>
        </w:tabs>
        <w:ind w:left="1080" w:hanging="360"/>
      </w:pPr>
      <w:rPr>
        <w:rFonts w:ascii="Calibri" w:eastAsiaTheme="minorHAnsi" w:hAnsi="Calibri" w:cs="Calibri" w:hint="default"/>
      </w:rPr>
    </w:lvl>
    <w:lvl w:ilvl="1" w:tplc="FFFFFFFF">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Arial" w:hAnsi="Arial" w:hint="default"/>
      </w:rPr>
    </w:lvl>
    <w:lvl w:ilvl="3" w:tplc="FFFFFFFF" w:tentative="1">
      <w:start w:val="1"/>
      <w:numFmt w:val="bullet"/>
      <w:lvlText w:val="•"/>
      <w:lvlJc w:val="left"/>
      <w:pPr>
        <w:tabs>
          <w:tab w:val="num" w:pos="3240"/>
        </w:tabs>
        <w:ind w:left="3240" w:hanging="360"/>
      </w:pPr>
      <w:rPr>
        <w:rFonts w:ascii="Arial" w:hAnsi="Arial" w:hint="default"/>
      </w:rPr>
    </w:lvl>
    <w:lvl w:ilvl="4" w:tplc="FFFFFFFF" w:tentative="1">
      <w:start w:val="1"/>
      <w:numFmt w:val="bullet"/>
      <w:lvlText w:val="•"/>
      <w:lvlJc w:val="left"/>
      <w:pPr>
        <w:tabs>
          <w:tab w:val="num" w:pos="3960"/>
        </w:tabs>
        <w:ind w:left="3960" w:hanging="360"/>
      </w:pPr>
      <w:rPr>
        <w:rFonts w:ascii="Arial" w:hAnsi="Arial" w:hint="default"/>
      </w:rPr>
    </w:lvl>
    <w:lvl w:ilvl="5" w:tplc="FFFFFFFF" w:tentative="1">
      <w:start w:val="1"/>
      <w:numFmt w:val="bullet"/>
      <w:lvlText w:val="•"/>
      <w:lvlJc w:val="left"/>
      <w:pPr>
        <w:tabs>
          <w:tab w:val="num" w:pos="4680"/>
        </w:tabs>
        <w:ind w:left="4680" w:hanging="360"/>
      </w:pPr>
      <w:rPr>
        <w:rFonts w:ascii="Arial" w:hAnsi="Arial" w:hint="default"/>
      </w:rPr>
    </w:lvl>
    <w:lvl w:ilvl="6" w:tplc="FFFFFFFF" w:tentative="1">
      <w:start w:val="1"/>
      <w:numFmt w:val="bullet"/>
      <w:lvlText w:val="•"/>
      <w:lvlJc w:val="left"/>
      <w:pPr>
        <w:tabs>
          <w:tab w:val="num" w:pos="5400"/>
        </w:tabs>
        <w:ind w:left="5400" w:hanging="360"/>
      </w:pPr>
      <w:rPr>
        <w:rFonts w:ascii="Arial" w:hAnsi="Arial" w:hint="default"/>
      </w:rPr>
    </w:lvl>
    <w:lvl w:ilvl="7" w:tplc="FFFFFFFF" w:tentative="1">
      <w:start w:val="1"/>
      <w:numFmt w:val="bullet"/>
      <w:lvlText w:val="•"/>
      <w:lvlJc w:val="left"/>
      <w:pPr>
        <w:tabs>
          <w:tab w:val="num" w:pos="6120"/>
        </w:tabs>
        <w:ind w:left="6120" w:hanging="360"/>
      </w:pPr>
      <w:rPr>
        <w:rFonts w:ascii="Arial" w:hAnsi="Arial" w:hint="default"/>
      </w:rPr>
    </w:lvl>
    <w:lvl w:ilvl="8" w:tplc="FFFFFFFF" w:tentative="1">
      <w:start w:val="1"/>
      <w:numFmt w:val="bullet"/>
      <w:lvlText w:val="•"/>
      <w:lvlJc w:val="left"/>
      <w:pPr>
        <w:tabs>
          <w:tab w:val="num" w:pos="6840"/>
        </w:tabs>
        <w:ind w:left="6840" w:hanging="360"/>
      </w:pPr>
      <w:rPr>
        <w:rFonts w:ascii="Arial" w:hAnsi="Arial" w:hint="default"/>
      </w:rPr>
    </w:lvl>
  </w:abstractNum>
  <w:abstractNum w:abstractNumId="10" w15:restartNumberingAfterBreak="0">
    <w:nsid w:val="1F9B24F9"/>
    <w:multiLevelType w:val="hybridMultilevel"/>
    <w:tmpl w:val="2B40C2F2"/>
    <w:lvl w:ilvl="0" w:tplc="6396DB0E">
      <w:start w:val="1"/>
      <w:numFmt w:val="bullet"/>
      <w:lvlText w:val="•"/>
      <w:lvlJc w:val="left"/>
      <w:pPr>
        <w:tabs>
          <w:tab w:val="num" w:pos="720"/>
        </w:tabs>
        <w:ind w:left="720" w:hanging="360"/>
      </w:pPr>
      <w:rPr>
        <w:rFonts w:ascii="Arial" w:hAnsi="Arial" w:hint="default"/>
      </w:rPr>
    </w:lvl>
    <w:lvl w:ilvl="1" w:tplc="5C14E662">
      <w:numFmt w:val="bullet"/>
      <w:lvlText w:val="o"/>
      <w:lvlJc w:val="left"/>
      <w:pPr>
        <w:tabs>
          <w:tab w:val="num" w:pos="1440"/>
        </w:tabs>
        <w:ind w:left="1440" w:hanging="360"/>
      </w:pPr>
      <w:rPr>
        <w:rFonts w:ascii="Courier New" w:hAnsi="Courier New" w:hint="default"/>
      </w:rPr>
    </w:lvl>
    <w:lvl w:ilvl="2" w:tplc="D3585B38" w:tentative="1">
      <w:start w:val="1"/>
      <w:numFmt w:val="bullet"/>
      <w:lvlText w:val="•"/>
      <w:lvlJc w:val="left"/>
      <w:pPr>
        <w:tabs>
          <w:tab w:val="num" w:pos="2160"/>
        </w:tabs>
        <w:ind w:left="2160" w:hanging="360"/>
      </w:pPr>
      <w:rPr>
        <w:rFonts w:ascii="Arial" w:hAnsi="Arial" w:hint="default"/>
      </w:rPr>
    </w:lvl>
    <w:lvl w:ilvl="3" w:tplc="EA52F6AA" w:tentative="1">
      <w:start w:val="1"/>
      <w:numFmt w:val="bullet"/>
      <w:lvlText w:val="•"/>
      <w:lvlJc w:val="left"/>
      <w:pPr>
        <w:tabs>
          <w:tab w:val="num" w:pos="2880"/>
        </w:tabs>
        <w:ind w:left="2880" w:hanging="360"/>
      </w:pPr>
      <w:rPr>
        <w:rFonts w:ascii="Arial" w:hAnsi="Arial" w:hint="default"/>
      </w:rPr>
    </w:lvl>
    <w:lvl w:ilvl="4" w:tplc="7CC6344E" w:tentative="1">
      <w:start w:val="1"/>
      <w:numFmt w:val="bullet"/>
      <w:lvlText w:val="•"/>
      <w:lvlJc w:val="left"/>
      <w:pPr>
        <w:tabs>
          <w:tab w:val="num" w:pos="3600"/>
        </w:tabs>
        <w:ind w:left="3600" w:hanging="360"/>
      </w:pPr>
      <w:rPr>
        <w:rFonts w:ascii="Arial" w:hAnsi="Arial" w:hint="default"/>
      </w:rPr>
    </w:lvl>
    <w:lvl w:ilvl="5" w:tplc="09DEC80A" w:tentative="1">
      <w:start w:val="1"/>
      <w:numFmt w:val="bullet"/>
      <w:lvlText w:val="•"/>
      <w:lvlJc w:val="left"/>
      <w:pPr>
        <w:tabs>
          <w:tab w:val="num" w:pos="4320"/>
        </w:tabs>
        <w:ind w:left="4320" w:hanging="360"/>
      </w:pPr>
      <w:rPr>
        <w:rFonts w:ascii="Arial" w:hAnsi="Arial" w:hint="default"/>
      </w:rPr>
    </w:lvl>
    <w:lvl w:ilvl="6" w:tplc="A6429DCC" w:tentative="1">
      <w:start w:val="1"/>
      <w:numFmt w:val="bullet"/>
      <w:lvlText w:val="•"/>
      <w:lvlJc w:val="left"/>
      <w:pPr>
        <w:tabs>
          <w:tab w:val="num" w:pos="5040"/>
        </w:tabs>
        <w:ind w:left="5040" w:hanging="360"/>
      </w:pPr>
      <w:rPr>
        <w:rFonts w:ascii="Arial" w:hAnsi="Arial" w:hint="default"/>
      </w:rPr>
    </w:lvl>
    <w:lvl w:ilvl="7" w:tplc="4D18F850" w:tentative="1">
      <w:start w:val="1"/>
      <w:numFmt w:val="bullet"/>
      <w:lvlText w:val="•"/>
      <w:lvlJc w:val="left"/>
      <w:pPr>
        <w:tabs>
          <w:tab w:val="num" w:pos="5760"/>
        </w:tabs>
        <w:ind w:left="5760" w:hanging="360"/>
      </w:pPr>
      <w:rPr>
        <w:rFonts w:ascii="Arial" w:hAnsi="Arial" w:hint="default"/>
      </w:rPr>
    </w:lvl>
    <w:lvl w:ilvl="8" w:tplc="D46AA492"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71754D3"/>
    <w:multiLevelType w:val="hybridMultilevel"/>
    <w:tmpl w:val="E9CCD7BC"/>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2" w15:restartNumberingAfterBreak="0">
    <w:nsid w:val="2EA1121A"/>
    <w:multiLevelType w:val="hybridMultilevel"/>
    <w:tmpl w:val="51BC1A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31D1D5C"/>
    <w:multiLevelType w:val="hybridMultilevel"/>
    <w:tmpl w:val="FE26C648"/>
    <w:lvl w:ilvl="0" w:tplc="0809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36D82A99"/>
    <w:multiLevelType w:val="hybridMultilevel"/>
    <w:tmpl w:val="DB0AC3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99B1F6F"/>
    <w:multiLevelType w:val="hybridMultilevel"/>
    <w:tmpl w:val="47BA12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09D0D04"/>
    <w:multiLevelType w:val="multilevel"/>
    <w:tmpl w:val="1FB83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58F3AA3"/>
    <w:multiLevelType w:val="hybridMultilevel"/>
    <w:tmpl w:val="7640F3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9481D19"/>
    <w:multiLevelType w:val="hybridMultilevel"/>
    <w:tmpl w:val="C1881662"/>
    <w:lvl w:ilvl="0" w:tplc="08090001">
      <w:start w:val="1"/>
      <w:numFmt w:val="bullet"/>
      <w:lvlText w:val=""/>
      <w:lvlJc w:val="left"/>
      <w:pPr>
        <w:tabs>
          <w:tab w:val="num" w:pos="720"/>
        </w:tabs>
        <w:ind w:left="720" w:hanging="360"/>
      </w:pPr>
      <w:rPr>
        <w:rFonts w:ascii="Symbol" w:hAnsi="Symbol" w:hint="default"/>
      </w:rPr>
    </w:lvl>
    <w:lvl w:ilvl="1" w:tplc="FFFFFFFF">
      <w:start w:val="1"/>
      <w:numFmt w:val="bullet"/>
      <w:lvlText w:val=""/>
      <w:lvlJc w:val="left"/>
      <w:pPr>
        <w:ind w:left="720" w:hanging="360"/>
      </w:pPr>
      <w:rPr>
        <w:rFonts w:ascii="Symbol" w:hAnsi="Symbol" w:hint="default"/>
      </w:rPr>
    </w:lvl>
    <w:lvl w:ilvl="2" w:tplc="FFFFFFFF" w:tentative="1">
      <w:start w:val="1"/>
      <w:numFmt w:val="bullet"/>
      <w:lvlText w:val="o"/>
      <w:lvlJc w:val="left"/>
      <w:pPr>
        <w:tabs>
          <w:tab w:val="num" w:pos="2160"/>
        </w:tabs>
        <w:ind w:left="2160" w:hanging="360"/>
      </w:pPr>
      <w:rPr>
        <w:rFonts w:ascii="Courier New" w:hAnsi="Courier New" w:hint="default"/>
      </w:rPr>
    </w:lvl>
    <w:lvl w:ilvl="3" w:tplc="FFFFFFFF" w:tentative="1">
      <w:start w:val="1"/>
      <w:numFmt w:val="bullet"/>
      <w:lvlText w:val="o"/>
      <w:lvlJc w:val="left"/>
      <w:pPr>
        <w:tabs>
          <w:tab w:val="num" w:pos="2880"/>
        </w:tabs>
        <w:ind w:left="2880" w:hanging="360"/>
      </w:pPr>
      <w:rPr>
        <w:rFonts w:ascii="Courier New" w:hAnsi="Courier New"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o"/>
      <w:lvlJc w:val="left"/>
      <w:pPr>
        <w:tabs>
          <w:tab w:val="num" w:pos="4320"/>
        </w:tabs>
        <w:ind w:left="4320" w:hanging="360"/>
      </w:pPr>
      <w:rPr>
        <w:rFonts w:ascii="Courier New" w:hAnsi="Courier New" w:hint="default"/>
      </w:rPr>
    </w:lvl>
    <w:lvl w:ilvl="6" w:tplc="FFFFFFFF" w:tentative="1">
      <w:start w:val="1"/>
      <w:numFmt w:val="bullet"/>
      <w:lvlText w:val="o"/>
      <w:lvlJc w:val="left"/>
      <w:pPr>
        <w:tabs>
          <w:tab w:val="num" w:pos="5040"/>
        </w:tabs>
        <w:ind w:left="5040" w:hanging="360"/>
      </w:pPr>
      <w:rPr>
        <w:rFonts w:ascii="Courier New" w:hAnsi="Courier New"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o"/>
      <w:lvlJc w:val="left"/>
      <w:pPr>
        <w:tabs>
          <w:tab w:val="num" w:pos="6480"/>
        </w:tabs>
        <w:ind w:left="6480" w:hanging="360"/>
      </w:pPr>
      <w:rPr>
        <w:rFonts w:ascii="Courier New" w:hAnsi="Courier New" w:hint="default"/>
      </w:rPr>
    </w:lvl>
  </w:abstractNum>
  <w:abstractNum w:abstractNumId="19" w15:restartNumberingAfterBreak="0">
    <w:nsid w:val="4A8109C3"/>
    <w:multiLevelType w:val="hybridMultilevel"/>
    <w:tmpl w:val="52923CD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DF16C54"/>
    <w:multiLevelType w:val="hybridMultilevel"/>
    <w:tmpl w:val="5FFCAD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E171605"/>
    <w:multiLevelType w:val="hybridMultilevel"/>
    <w:tmpl w:val="C67AB35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E2F18C6"/>
    <w:multiLevelType w:val="hybridMultilevel"/>
    <w:tmpl w:val="477E39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FE67E4A"/>
    <w:multiLevelType w:val="hybridMultilevel"/>
    <w:tmpl w:val="D65408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1C955AD"/>
    <w:multiLevelType w:val="hybridMultilevel"/>
    <w:tmpl w:val="08F28A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1E20313"/>
    <w:multiLevelType w:val="hybridMultilevel"/>
    <w:tmpl w:val="0980ED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46E50DA"/>
    <w:multiLevelType w:val="hybridMultilevel"/>
    <w:tmpl w:val="FB3248D4"/>
    <w:lvl w:ilvl="0" w:tplc="465CBEAE">
      <w:start w:val="31"/>
      <w:numFmt w:val="bullet"/>
      <w:lvlText w:val="-"/>
      <w:lvlJc w:val="left"/>
      <w:pPr>
        <w:ind w:left="1440" w:hanging="360"/>
      </w:pPr>
      <w:rPr>
        <w:rFonts w:ascii="Calibri" w:eastAsiaTheme="minorHAnsi" w:hAnsi="Calibri" w:cs="Calibri"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5A315F90"/>
    <w:multiLevelType w:val="hybridMultilevel"/>
    <w:tmpl w:val="86DC3B0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5CAF5EB7"/>
    <w:multiLevelType w:val="hybridMultilevel"/>
    <w:tmpl w:val="3F44A03C"/>
    <w:lvl w:ilvl="0" w:tplc="08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9" w15:restartNumberingAfterBreak="0">
    <w:nsid w:val="5DAB4338"/>
    <w:multiLevelType w:val="hybridMultilevel"/>
    <w:tmpl w:val="414E9AD0"/>
    <w:lvl w:ilvl="0" w:tplc="CC64BF1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0142CFB"/>
    <w:multiLevelType w:val="hybridMultilevel"/>
    <w:tmpl w:val="E772BB48"/>
    <w:lvl w:ilvl="0" w:tplc="FFFFFFFF">
      <w:start w:val="1"/>
      <w:numFmt w:val="bullet"/>
      <w:lvlText w:val="o"/>
      <w:lvlJc w:val="left"/>
      <w:pPr>
        <w:tabs>
          <w:tab w:val="num" w:pos="720"/>
        </w:tabs>
        <w:ind w:left="720" w:hanging="360"/>
      </w:pPr>
      <w:rPr>
        <w:rFonts w:ascii="Courier New" w:hAnsi="Courier New" w:hint="default"/>
      </w:rPr>
    </w:lvl>
    <w:lvl w:ilvl="1" w:tplc="4BE02A2A">
      <w:start w:val="1"/>
      <w:numFmt w:val="bullet"/>
      <w:pStyle w:val="Heading3"/>
      <w:lvlText w:val=""/>
      <w:lvlJc w:val="left"/>
      <w:pPr>
        <w:ind w:left="720" w:hanging="360"/>
      </w:pPr>
      <w:rPr>
        <w:rFonts w:ascii="Symbol" w:hAnsi="Symbol" w:hint="default"/>
      </w:rPr>
    </w:lvl>
    <w:lvl w:ilvl="2" w:tplc="FFFFFFFF">
      <w:start w:val="1"/>
      <w:numFmt w:val="bullet"/>
      <w:lvlText w:val="o"/>
      <w:lvlJc w:val="left"/>
      <w:pPr>
        <w:tabs>
          <w:tab w:val="num" w:pos="2160"/>
        </w:tabs>
        <w:ind w:left="2160" w:hanging="360"/>
      </w:pPr>
      <w:rPr>
        <w:rFonts w:ascii="Courier New" w:hAnsi="Courier New" w:hint="default"/>
      </w:rPr>
    </w:lvl>
    <w:lvl w:ilvl="3" w:tplc="FFFFFFFF" w:tentative="1">
      <w:start w:val="1"/>
      <w:numFmt w:val="bullet"/>
      <w:lvlText w:val="o"/>
      <w:lvlJc w:val="left"/>
      <w:pPr>
        <w:tabs>
          <w:tab w:val="num" w:pos="2880"/>
        </w:tabs>
        <w:ind w:left="2880" w:hanging="360"/>
      </w:pPr>
      <w:rPr>
        <w:rFonts w:ascii="Courier New" w:hAnsi="Courier New"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o"/>
      <w:lvlJc w:val="left"/>
      <w:pPr>
        <w:tabs>
          <w:tab w:val="num" w:pos="4320"/>
        </w:tabs>
        <w:ind w:left="4320" w:hanging="360"/>
      </w:pPr>
      <w:rPr>
        <w:rFonts w:ascii="Courier New" w:hAnsi="Courier New" w:hint="default"/>
      </w:rPr>
    </w:lvl>
    <w:lvl w:ilvl="6" w:tplc="FFFFFFFF" w:tentative="1">
      <w:start w:val="1"/>
      <w:numFmt w:val="bullet"/>
      <w:lvlText w:val="o"/>
      <w:lvlJc w:val="left"/>
      <w:pPr>
        <w:tabs>
          <w:tab w:val="num" w:pos="5040"/>
        </w:tabs>
        <w:ind w:left="5040" w:hanging="360"/>
      </w:pPr>
      <w:rPr>
        <w:rFonts w:ascii="Courier New" w:hAnsi="Courier New"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o"/>
      <w:lvlJc w:val="left"/>
      <w:pPr>
        <w:tabs>
          <w:tab w:val="num" w:pos="6480"/>
        </w:tabs>
        <w:ind w:left="6480" w:hanging="360"/>
      </w:pPr>
      <w:rPr>
        <w:rFonts w:ascii="Courier New" w:hAnsi="Courier New" w:hint="default"/>
      </w:rPr>
    </w:lvl>
  </w:abstractNum>
  <w:abstractNum w:abstractNumId="31" w15:restartNumberingAfterBreak="0">
    <w:nsid w:val="63994025"/>
    <w:multiLevelType w:val="hybridMultilevel"/>
    <w:tmpl w:val="3D10E3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5F40104"/>
    <w:multiLevelType w:val="hybridMultilevel"/>
    <w:tmpl w:val="2EBAF7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667A257D"/>
    <w:multiLevelType w:val="hybridMultilevel"/>
    <w:tmpl w:val="CC26644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CC91DDE"/>
    <w:multiLevelType w:val="hybridMultilevel"/>
    <w:tmpl w:val="E44261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0FD61EC"/>
    <w:multiLevelType w:val="hybridMultilevel"/>
    <w:tmpl w:val="E938C24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6D35183"/>
    <w:multiLevelType w:val="multilevel"/>
    <w:tmpl w:val="8578C43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7" w15:restartNumberingAfterBreak="0">
    <w:nsid w:val="79574E6C"/>
    <w:multiLevelType w:val="multilevel"/>
    <w:tmpl w:val="B832D3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15:restartNumberingAfterBreak="0">
    <w:nsid w:val="7C5F124E"/>
    <w:multiLevelType w:val="hybridMultilevel"/>
    <w:tmpl w:val="CEF655E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D2B36F7"/>
    <w:multiLevelType w:val="hybridMultilevel"/>
    <w:tmpl w:val="5466505E"/>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707947009">
    <w:abstractNumId w:val="31"/>
  </w:num>
  <w:num w:numId="2" w16cid:durableId="605619411">
    <w:abstractNumId w:val="10"/>
  </w:num>
  <w:num w:numId="3" w16cid:durableId="1258758107">
    <w:abstractNumId w:val="22"/>
  </w:num>
  <w:num w:numId="4" w16cid:durableId="1443374632">
    <w:abstractNumId w:val="30"/>
  </w:num>
  <w:num w:numId="5" w16cid:durableId="1844393022">
    <w:abstractNumId w:val="18"/>
  </w:num>
  <w:num w:numId="6" w16cid:durableId="478503642">
    <w:abstractNumId w:val="13"/>
  </w:num>
  <w:num w:numId="7" w16cid:durableId="1230455686">
    <w:abstractNumId w:val="11"/>
  </w:num>
  <w:num w:numId="8" w16cid:durableId="1479107342">
    <w:abstractNumId w:val="33"/>
  </w:num>
  <w:num w:numId="9" w16cid:durableId="1474983265">
    <w:abstractNumId w:val="25"/>
  </w:num>
  <w:num w:numId="10" w16cid:durableId="898714068">
    <w:abstractNumId w:val="38"/>
  </w:num>
  <w:num w:numId="11" w16cid:durableId="732121767">
    <w:abstractNumId w:val="8"/>
  </w:num>
  <w:num w:numId="12" w16cid:durableId="1692492262">
    <w:abstractNumId w:val="3"/>
  </w:num>
  <w:num w:numId="13" w16cid:durableId="1083991055">
    <w:abstractNumId w:val="26"/>
  </w:num>
  <w:num w:numId="14" w16cid:durableId="1229338939">
    <w:abstractNumId w:val="12"/>
  </w:num>
  <w:num w:numId="15" w16cid:durableId="2073235031">
    <w:abstractNumId w:val="20"/>
  </w:num>
  <w:num w:numId="16" w16cid:durableId="853299196">
    <w:abstractNumId w:val="2"/>
  </w:num>
  <w:num w:numId="17" w16cid:durableId="676690292">
    <w:abstractNumId w:val="21"/>
  </w:num>
  <w:num w:numId="18" w16cid:durableId="2091612154">
    <w:abstractNumId w:val="19"/>
  </w:num>
  <w:num w:numId="19" w16cid:durableId="936403990">
    <w:abstractNumId w:val="9"/>
  </w:num>
  <w:num w:numId="20" w16cid:durableId="608465963">
    <w:abstractNumId w:val="34"/>
  </w:num>
  <w:num w:numId="21" w16cid:durableId="1967350930">
    <w:abstractNumId w:val="35"/>
  </w:num>
  <w:num w:numId="22" w16cid:durableId="1843930776">
    <w:abstractNumId w:val="16"/>
  </w:num>
  <w:num w:numId="23" w16cid:durableId="1793356818">
    <w:abstractNumId w:val="39"/>
  </w:num>
  <w:num w:numId="24" w16cid:durableId="1595936992">
    <w:abstractNumId w:val="18"/>
  </w:num>
  <w:num w:numId="25" w16cid:durableId="583540206">
    <w:abstractNumId w:val="29"/>
  </w:num>
  <w:num w:numId="26" w16cid:durableId="2107575621">
    <w:abstractNumId w:val="36"/>
  </w:num>
  <w:num w:numId="27" w16cid:durableId="1109660777">
    <w:abstractNumId w:val="14"/>
  </w:num>
  <w:num w:numId="28" w16cid:durableId="583101389">
    <w:abstractNumId w:val="4"/>
  </w:num>
  <w:num w:numId="29" w16cid:durableId="982275546">
    <w:abstractNumId w:val="23"/>
  </w:num>
  <w:num w:numId="30" w16cid:durableId="1136990724">
    <w:abstractNumId w:val="17"/>
  </w:num>
  <w:num w:numId="31" w16cid:durableId="2058969972">
    <w:abstractNumId w:val="7"/>
  </w:num>
  <w:num w:numId="32" w16cid:durableId="500895261">
    <w:abstractNumId w:val="37"/>
  </w:num>
  <w:num w:numId="33" w16cid:durableId="756370343">
    <w:abstractNumId w:val="6"/>
  </w:num>
  <w:num w:numId="34" w16cid:durableId="1131436938">
    <w:abstractNumId w:val="0"/>
  </w:num>
  <w:num w:numId="35" w16cid:durableId="1578829152">
    <w:abstractNumId w:val="27"/>
  </w:num>
  <w:num w:numId="36" w16cid:durableId="1268350471">
    <w:abstractNumId w:val="28"/>
  </w:num>
  <w:num w:numId="37" w16cid:durableId="1316177427">
    <w:abstractNumId w:val="5"/>
  </w:num>
  <w:num w:numId="38" w16cid:durableId="1201474086">
    <w:abstractNumId w:val="1"/>
  </w:num>
  <w:num w:numId="39" w16cid:durableId="1452046919">
    <w:abstractNumId w:val="24"/>
  </w:num>
  <w:num w:numId="40" w16cid:durableId="2133399878">
    <w:abstractNumId w:val="15"/>
  </w:num>
  <w:num w:numId="41" w16cid:durableId="317000756">
    <w:abstractNumId w:val="3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3E4C"/>
    <w:rsid w:val="00000B35"/>
    <w:rsid w:val="00002008"/>
    <w:rsid w:val="00002224"/>
    <w:rsid w:val="00002350"/>
    <w:rsid w:val="000035F7"/>
    <w:rsid w:val="00004821"/>
    <w:rsid w:val="00010185"/>
    <w:rsid w:val="00011189"/>
    <w:rsid w:val="00012D87"/>
    <w:rsid w:val="00013477"/>
    <w:rsid w:val="00014469"/>
    <w:rsid w:val="000152FB"/>
    <w:rsid w:val="000156AA"/>
    <w:rsid w:val="00016384"/>
    <w:rsid w:val="00016E3A"/>
    <w:rsid w:val="0002081C"/>
    <w:rsid w:val="00021211"/>
    <w:rsid w:val="00024013"/>
    <w:rsid w:val="00025790"/>
    <w:rsid w:val="00034C31"/>
    <w:rsid w:val="00035F89"/>
    <w:rsid w:val="000362BA"/>
    <w:rsid w:val="00036804"/>
    <w:rsid w:val="000370AF"/>
    <w:rsid w:val="000371B8"/>
    <w:rsid w:val="000377E1"/>
    <w:rsid w:val="000408E9"/>
    <w:rsid w:val="000409D2"/>
    <w:rsid w:val="00040AA5"/>
    <w:rsid w:val="00040E91"/>
    <w:rsid w:val="00042EA9"/>
    <w:rsid w:val="000437DC"/>
    <w:rsid w:val="00044683"/>
    <w:rsid w:val="00047549"/>
    <w:rsid w:val="000510BB"/>
    <w:rsid w:val="000519EE"/>
    <w:rsid w:val="0005276F"/>
    <w:rsid w:val="000546F6"/>
    <w:rsid w:val="00054D27"/>
    <w:rsid w:val="000550A3"/>
    <w:rsid w:val="0005605B"/>
    <w:rsid w:val="00056E60"/>
    <w:rsid w:val="00056EAD"/>
    <w:rsid w:val="00060CF9"/>
    <w:rsid w:val="00061244"/>
    <w:rsid w:val="00061875"/>
    <w:rsid w:val="000618D0"/>
    <w:rsid w:val="00067171"/>
    <w:rsid w:val="0007092A"/>
    <w:rsid w:val="00071211"/>
    <w:rsid w:val="0007363E"/>
    <w:rsid w:val="00073E21"/>
    <w:rsid w:val="00074656"/>
    <w:rsid w:val="000748CF"/>
    <w:rsid w:val="00074E66"/>
    <w:rsid w:val="00075670"/>
    <w:rsid w:val="00075A5D"/>
    <w:rsid w:val="00075D6A"/>
    <w:rsid w:val="00080719"/>
    <w:rsid w:val="00081BD1"/>
    <w:rsid w:val="000871E9"/>
    <w:rsid w:val="00087EBF"/>
    <w:rsid w:val="00087ED0"/>
    <w:rsid w:val="000921F1"/>
    <w:rsid w:val="00092F6B"/>
    <w:rsid w:val="00093057"/>
    <w:rsid w:val="00093A53"/>
    <w:rsid w:val="000950D9"/>
    <w:rsid w:val="00095F68"/>
    <w:rsid w:val="000973F8"/>
    <w:rsid w:val="000A03F4"/>
    <w:rsid w:val="000A08C9"/>
    <w:rsid w:val="000A0DAA"/>
    <w:rsid w:val="000A3309"/>
    <w:rsid w:val="000A393C"/>
    <w:rsid w:val="000A4772"/>
    <w:rsid w:val="000A5616"/>
    <w:rsid w:val="000A5A4F"/>
    <w:rsid w:val="000A70CC"/>
    <w:rsid w:val="000B0AE2"/>
    <w:rsid w:val="000B0C9F"/>
    <w:rsid w:val="000B10F2"/>
    <w:rsid w:val="000B2554"/>
    <w:rsid w:val="000B2D09"/>
    <w:rsid w:val="000B3CEF"/>
    <w:rsid w:val="000B79D3"/>
    <w:rsid w:val="000C09A6"/>
    <w:rsid w:val="000C0C64"/>
    <w:rsid w:val="000C0E84"/>
    <w:rsid w:val="000C207E"/>
    <w:rsid w:val="000C287D"/>
    <w:rsid w:val="000C2921"/>
    <w:rsid w:val="000C3029"/>
    <w:rsid w:val="000C34AA"/>
    <w:rsid w:val="000C39D8"/>
    <w:rsid w:val="000D11BA"/>
    <w:rsid w:val="000D32EC"/>
    <w:rsid w:val="000D55B9"/>
    <w:rsid w:val="000D57D2"/>
    <w:rsid w:val="000D5DA6"/>
    <w:rsid w:val="000D6494"/>
    <w:rsid w:val="000D670E"/>
    <w:rsid w:val="000D6CF3"/>
    <w:rsid w:val="000E22EA"/>
    <w:rsid w:val="000E2430"/>
    <w:rsid w:val="000E25E9"/>
    <w:rsid w:val="000E2F91"/>
    <w:rsid w:val="000E3C5C"/>
    <w:rsid w:val="000E43E3"/>
    <w:rsid w:val="000E572A"/>
    <w:rsid w:val="000E5855"/>
    <w:rsid w:val="000E61F4"/>
    <w:rsid w:val="000E621B"/>
    <w:rsid w:val="000E6C89"/>
    <w:rsid w:val="000E7920"/>
    <w:rsid w:val="000F049F"/>
    <w:rsid w:val="000F0610"/>
    <w:rsid w:val="000F16C5"/>
    <w:rsid w:val="000F3A9D"/>
    <w:rsid w:val="000F4B85"/>
    <w:rsid w:val="000F62D9"/>
    <w:rsid w:val="000F62EE"/>
    <w:rsid w:val="000F6DBD"/>
    <w:rsid w:val="000F7A4A"/>
    <w:rsid w:val="001013A4"/>
    <w:rsid w:val="0010575E"/>
    <w:rsid w:val="00106480"/>
    <w:rsid w:val="0010679E"/>
    <w:rsid w:val="001073AD"/>
    <w:rsid w:val="00107648"/>
    <w:rsid w:val="00110E05"/>
    <w:rsid w:val="00111E79"/>
    <w:rsid w:val="00113143"/>
    <w:rsid w:val="0011444C"/>
    <w:rsid w:val="00114C48"/>
    <w:rsid w:val="00115C2E"/>
    <w:rsid w:val="0011614E"/>
    <w:rsid w:val="001173F6"/>
    <w:rsid w:val="001175AF"/>
    <w:rsid w:val="00122DC5"/>
    <w:rsid w:val="0012479A"/>
    <w:rsid w:val="00124FD8"/>
    <w:rsid w:val="00125AF9"/>
    <w:rsid w:val="00126C65"/>
    <w:rsid w:val="00127FD5"/>
    <w:rsid w:val="00131F82"/>
    <w:rsid w:val="001348CD"/>
    <w:rsid w:val="00134BAD"/>
    <w:rsid w:val="00135D51"/>
    <w:rsid w:val="00135D8A"/>
    <w:rsid w:val="00135DB8"/>
    <w:rsid w:val="00136AEB"/>
    <w:rsid w:val="0014146C"/>
    <w:rsid w:val="00141A5E"/>
    <w:rsid w:val="0014314C"/>
    <w:rsid w:val="0014394F"/>
    <w:rsid w:val="00143BC7"/>
    <w:rsid w:val="00145FB3"/>
    <w:rsid w:val="00146690"/>
    <w:rsid w:val="00146770"/>
    <w:rsid w:val="001474E5"/>
    <w:rsid w:val="00152520"/>
    <w:rsid w:val="00153D21"/>
    <w:rsid w:val="001561DF"/>
    <w:rsid w:val="00157E52"/>
    <w:rsid w:val="001623F5"/>
    <w:rsid w:val="0016434D"/>
    <w:rsid w:val="00165131"/>
    <w:rsid w:val="001652EA"/>
    <w:rsid w:val="0016623E"/>
    <w:rsid w:val="00167A31"/>
    <w:rsid w:val="00172D2C"/>
    <w:rsid w:val="001741BA"/>
    <w:rsid w:val="00177895"/>
    <w:rsid w:val="00177DC0"/>
    <w:rsid w:val="00180322"/>
    <w:rsid w:val="001845EA"/>
    <w:rsid w:val="00186965"/>
    <w:rsid w:val="00187356"/>
    <w:rsid w:val="00187B75"/>
    <w:rsid w:val="00187E4E"/>
    <w:rsid w:val="001914C6"/>
    <w:rsid w:val="001918A7"/>
    <w:rsid w:val="001921CA"/>
    <w:rsid w:val="001941CB"/>
    <w:rsid w:val="00197F9A"/>
    <w:rsid w:val="001A0838"/>
    <w:rsid w:val="001A0A94"/>
    <w:rsid w:val="001A0E31"/>
    <w:rsid w:val="001A115F"/>
    <w:rsid w:val="001A19C0"/>
    <w:rsid w:val="001A3C9C"/>
    <w:rsid w:val="001A76B1"/>
    <w:rsid w:val="001B04A2"/>
    <w:rsid w:val="001B3BA9"/>
    <w:rsid w:val="001B3D47"/>
    <w:rsid w:val="001B3F11"/>
    <w:rsid w:val="001B5DEA"/>
    <w:rsid w:val="001B610D"/>
    <w:rsid w:val="001B67E8"/>
    <w:rsid w:val="001B710A"/>
    <w:rsid w:val="001B7333"/>
    <w:rsid w:val="001B73EF"/>
    <w:rsid w:val="001B7718"/>
    <w:rsid w:val="001C109D"/>
    <w:rsid w:val="001C1564"/>
    <w:rsid w:val="001C1B7B"/>
    <w:rsid w:val="001C3632"/>
    <w:rsid w:val="001C455B"/>
    <w:rsid w:val="001C597C"/>
    <w:rsid w:val="001C5E60"/>
    <w:rsid w:val="001C5EAF"/>
    <w:rsid w:val="001C6314"/>
    <w:rsid w:val="001C6B5A"/>
    <w:rsid w:val="001C73DF"/>
    <w:rsid w:val="001C740A"/>
    <w:rsid w:val="001D031F"/>
    <w:rsid w:val="001D13D1"/>
    <w:rsid w:val="001D336F"/>
    <w:rsid w:val="001D4618"/>
    <w:rsid w:val="001D4C2B"/>
    <w:rsid w:val="001D55D8"/>
    <w:rsid w:val="001E055F"/>
    <w:rsid w:val="001E0AA0"/>
    <w:rsid w:val="001E1474"/>
    <w:rsid w:val="001E154D"/>
    <w:rsid w:val="001E33B5"/>
    <w:rsid w:val="001E443C"/>
    <w:rsid w:val="001E4BB6"/>
    <w:rsid w:val="001E5E9F"/>
    <w:rsid w:val="001E69DB"/>
    <w:rsid w:val="001E6BE2"/>
    <w:rsid w:val="001F16A2"/>
    <w:rsid w:val="001F4799"/>
    <w:rsid w:val="001F4AAD"/>
    <w:rsid w:val="001F6B0A"/>
    <w:rsid w:val="001F7013"/>
    <w:rsid w:val="00202327"/>
    <w:rsid w:val="00203D82"/>
    <w:rsid w:val="0020615D"/>
    <w:rsid w:val="00211967"/>
    <w:rsid w:val="00211ADA"/>
    <w:rsid w:val="00212070"/>
    <w:rsid w:val="0021218A"/>
    <w:rsid w:val="00212976"/>
    <w:rsid w:val="002134AF"/>
    <w:rsid w:val="00214F92"/>
    <w:rsid w:val="0021592A"/>
    <w:rsid w:val="002176DA"/>
    <w:rsid w:val="00220040"/>
    <w:rsid w:val="0022077C"/>
    <w:rsid w:val="002210E4"/>
    <w:rsid w:val="00221470"/>
    <w:rsid w:val="00221BF4"/>
    <w:rsid w:val="002229A1"/>
    <w:rsid w:val="00223E7C"/>
    <w:rsid w:val="00224C41"/>
    <w:rsid w:val="00224D55"/>
    <w:rsid w:val="00225616"/>
    <w:rsid w:val="00225DA4"/>
    <w:rsid w:val="00227B3C"/>
    <w:rsid w:val="00232C4B"/>
    <w:rsid w:val="0023373B"/>
    <w:rsid w:val="002342AA"/>
    <w:rsid w:val="002344EF"/>
    <w:rsid w:val="002401D0"/>
    <w:rsid w:val="0024238B"/>
    <w:rsid w:val="0024263E"/>
    <w:rsid w:val="00244D37"/>
    <w:rsid w:val="00246A8E"/>
    <w:rsid w:val="0025054E"/>
    <w:rsid w:val="00251B01"/>
    <w:rsid w:val="00251F78"/>
    <w:rsid w:val="00252165"/>
    <w:rsid w:val="00252A21"/>
    <w:rsid w:val="00252A6A"/>
    <w:rsid w:val="0025412C"/>
    <w:rsid w:val="002546F2"/>
    <w:rsid w:val="00257290"/>
    <w:rsid w:val="00260EB3"/>
    <w:rsid w:val="00261B67"/>
    <w:rsid w:val="002622EB"/>
    <w:rsid w:val="00264A9D"/>
    <w:rsid w:val="0026570E"/>
    <w:rsid w:val="00266126"/>
    <w:rsid w:val="0026673C"/>
    <w:rsid w:val="00266B28"/>
    <w:rsid w:val="0027039B"/>
    <w:rsid w:val="00271573"/>
    <w:rsid w:val="002719CD"/>
    <w:rsid w:val="00273149"/>
    <w:rsid w:val="0027440A"/>
    <w:rsid w:val="00274486"/>
    <w:rsid w:val="00274ACB"/>
    <w:rsid w:val="00274E8C"/>
    <w:rsid w:val="00277E98"/>
    <w:rsid w:val="00280991"/>
    <w:rsid w:val="00281723"/>
    <w:rsid w:val="00281F9B"/>
    <w:rsid w:val="00282142"/>
    <w:rsid w:val="002835F8"/>
    <w:rsid w:val="00283B88"/>
    <w:rsid w:val="00283D70"/>
    <w:rsid w:val="00284318"/>
    <w:rsid w:val="00285894"/>
    <w:rsid w:val="002873D0"/>
    <w:rsid w:val="00287553"/>
    <w:rsid w:val="002910FE"/>
    <w:rsid w:val="002911AC"/>
    <w:rsid w:val="00291A50"/>
    <w:rsid w:val="00291B05"/>
    <w:rsid w:val="00291CBD"/>
    <w:rsid w:val="00292778"/>
    <w:rsid w:val="002935FC"/>
    <w:rsid w:val="0029501D"/>
    <w:rsid w:val="0029559F"/>
    <w:rsid w:val="0029595D"/>
    <w:rsid w:val="00297064"/>
    <w:rsid w:val="002974BD"/>
    <w:rsid w:val="00297676"/>
    <w:rsid w:val="00297B92"/>
    <w:rsid w:val="002A0700"/>
    <w:rsid w:val="002A0EC2"/>
    <w:rsid w:val="002A507A"/>
    <w:rsid w:val="002A6F0D"/>
    <w:rsid w:val="002A6F81"/>
    <w:rsid w:val="002A70EB"/>
    <w:rsid w:val="002B00D8"/>
    <w:rsid w:val="002B028C"/>
    <w:rsid w:val="002B2776"/>
    <w:rsid w:val="002B47FB"/>
    <w:rsid w:val="002B5958"/>
    <w:rsid w:val="002C1EEB"/>
    <w:rsid w:val="002C1FF5"/>
    <w:rsid w:val="002C245B"/>
    <w:rsid w:val="002C39D9"/>
    <w:rsid w:val="002C3BBF"/>
    <w:rsid w:val="002C4D07"/>
    <w:rsid w:val="002C4E2E"/>
    <w:rsid w:val="002C6F99"/>
    <w:rsid w:val="002C7EC7"/>
    <w:rsid w:val="002D08F6"/>
    <w:rsid w:val="002D4E42"/>
    <w:rsid w:val="002E06C4"/>
    <w:rsid w:val="002E10D3"/>
    <w:rsid w:val="002E1C43"/>
    <w:rsid w:val="002E347C"/>
    <w:rsid w:val="002E45E0"/>
    <w:rsid w:val="002E48EB"/>
    <w:rsid w:val="002E4D50"/>
    <w:rsid w:val="002E50A4"/>
    <w:rsid w:val="002E5A28"/>
    <w:rsid w:val="002E5A58"/>
    <w:rsid w:val="002E62A7"/>
    <w:rsid w:val="002E69FA"/>
    <w:rsid w:val="002E6E8F"/>
    <w:rsid w:val="002E6EE7"/>
    <w:rsid w:val="002E73B4"/>
    <w:rsid w:val="002F0D93"/>
    <w:rsid w:val="002F0EC0"/>
    <w:rsid w:val="002F1459"/>
    <w:rsid w:val="002F1CC3"/>
    <w:rsid w:val="002F3753"/>
    <w:rsid w:val="002F501E"/>
    <w:rsid w:val="002F649E"/>
    <w:rsid w:val="00301014"/>
    <w:rsid w:val="00303B9D"/>
    <w:rsid w:val="003049BA"/>
    <w:rsid w:val="00304A6D"/>
    <w:rsid w:val="00305744"/>
    <w:rsid w:val="0030686E"/>
    <w:rsid w:val="00306D54"/>
    <w:rsid w:val="00307918"/>
    <w:rsid w:val="00312AC7"/>
    <w:rsid w:val="00313888"/>
    <w:rsid w:val="00314192"/>
    <w:rsid w:val="0032214D"/>
    <w:rsid w:val="003234C1"/>
    <w:rsid w:val="00324401"/>
    <w:rsid w:val="003245A2"/>
    <w:rsid w:val="00327CCA"/>
    <w:rsid w:val="0033315C"/>
    <w:rsid w:val="0033356A"/>
    <w:rsid w:val="00336552"/>
    <w:rsid w:val="00337297"/>
    <w:rsid w:val="00337E2A"/>
    <w:rsid w:val="00341196"/>
    <w:rsid w:val="003418C1"/>
    <w:rsid w:val="00342E30"/>
    <w:rsid w:val="003440D8"/>
    <w:rsid w:val="00344A16"/>
    <w:rsid w:val="00345BD3"/>
    <w:rsid w:val="003475CA"/>
    <w:rsid w:val="00347B20"/>
    <w:rsid w:val="0035020C"/>
    <w:rsid w:val="00350A08"/>
    <w:rsid w:val="00351019"/>
    <w:rsid w:val="003515F6"/>
    <w:rsid w:val="00351C94"/>
    <w:rsid w:val="0035312A"/>
    <w:rsid w:val="00355394"/>
    <w:rsid w:val="00355F80"/>
    <w:rsid w:val="00356089"/>
    <w:rsid w:val="003567D0"/>
    <w:rsid w:val="00361616"/>
    <w:rsid w:val="00362C24"/>
    <w:rsid w:val="003631A5"/>
    <w:rsid w:val="003645A0"/>
    <w:rsid w:val="00364656"/>
    <w:rsid w:val="00364A15"/>
    <w:rsid w:val="00365E5D"/>
    <w:rsid w:val="003670E8"/>
    <w:rsid w:val="00367568"/>
    <w:rsid w:val="00367A8B"/>
    <w:rsid w:val="00371711"/>
    <w:rsid w:val="00372462"/>
    <w:rsid w:val="003739FD"/>
    <w:rsid w:val="00374514"/>
    <w:rsid w:val="00375260"/>
    <w:rsid w:val="00375665"/>
    <w:rsid w:val="0037593E"/>
    <w:rsid w:val="003764EF"/>
    <w:rsid w:val="0037746C"/>
    <w:rsid w:val="00380E1A"/>
    <w:rsid w:val="00381D4F"/>
    <w:rsid w:val="00382D47"/>
    <w:rsid w:val="00384613"/>
    <w:rsid w:val="003848E1"/>
    <w:rsid w:val="00386315"/>
    <w:rsid w:val="0038662A"/>
    <w:rsid w:val="00387741"/>
    <w:rsid w:val="003914A9"/>
    <w:rsid w:val="00391D62"/>
    <w:rsid w:val="00392AD5"/>
    <w:rsid w:val="00393009"/>
    <w:rsid w:val="00394124"/>
    <w:rsid w:val="003946AF"/>
    <w:rsid w:val="00395A21"/>
    <w:rsid w:val="0039791A"/>
    <w:rsid w:val="003A1889"/>
    <w:rsid w:val="003A218C"/>
    <w:rsid w:val="003A2DEB"/>
    <w:rsid w:val="003A2F0D"/>
    <w:rsid w:val="003A4CEE"/>
    <w:rsid w:val="003A5341"/>
    <w:rsid w:val="003A563D"/>
    <w:rsid w:val="003A5E80"/>
    <w:rsid w:val="003A6117"/>
    <w:rsid w:val="003A6267"/>
    <w:rsid w:val="003B092F"/>
    <w:rsid w:val="003B324D"/>
    <w:rsid w:val="003B5ABF"/>
    <w:rsid w:val="003B5DBA"/>
    <w:rsid w:val="003B77E3"/>
    <w:rsid w:val="003B7812"/>
    <w:rsid w:val="003C134A"/>
    <w:rsid w:val="003C1982"/>
    <w:rsid w:val="003C1E86"/>
    <w:rsid w:val="003C45AE"/>
    <w:rsid w:val="003C4EF1"/>
    <w:rsid w:val="003C68ED"/>
    <w:rsid w:val="003C69D5"/>
    <w:rsid w:val="003C6C01"/>
    <w:rsid w:val="003C7317"/>
    <w:rsid w:val="003D180C"/>
    <w:rsid w:val="003D1AF5"/>
    <w:rsid w:val="003D4A65"/>
    <w:rsid w:val="003D4C57"/>
    <w:rsid w:val="003D50E9"/>
    <w:rsid w:val="003D5379"/>
    <w:rsid w:val="003D5A95"/>
    <w:rsid w:val="003D5F0C"/>
    <w:rsid w:val="003D632B"/>
    <w:rsid w:val="003D6CBE"/>
    <w:rsid w:val="003E2F1B"/>
    <w:rsid w:val="003E32ED"/>
    <w:rsid w:val="003E3712"/>
    <w:rsid w:val="003E7F7F"/>
    <w:rsid w:val="003F02E7"/>
    <w:rsid w:val="003F3932"/>
    <w:rsid w:val="003F3C37"/>
    <w:rsid w:val="003F44DF"/>
    <w:rsid w:val="003F46C6"/>
    <w:rsid w:val="003F53A9"/>
    <w:rsid w:val="003F659A"/>
    <w:rsid w:val="003F65F0"/>
    <w:rsid w:val="003F6C87"/>
    <w:rsid w:val="003F7C50"/>
    <w:rsid w:val="00400BA5"/>
    <w:rsid w:val="004019A6"/>
    <w:rsid w:val="00401F1A"/>
    <w:rsid w:val="0040223B"/>
    <w:rsid w:val="004024B2"/>
    <w:rsid w:val="00402CAE"/>
    <w:rsid w:val="00402CD5"/>
    <w:rsid w:val="004032E7"/>
    <w:rsid w:val="004033D8"/>
    <w:rsid w:val="004035D4"/>
    <w:rsid w:val="00403749"/>
    <w:rsid w:val="004045E8"/>
    <w:rsid w:val="00404C6E"/>
    <w:rsid w:val="0040605E"/>
    <w:rsid w:val="00407557"/>
    <w:rsid w:val="004114E3"/>
    <w:rsid w:val="00412F89"/>
    <w:rsid w:val="00413ADA"/>
    <w:rsid w:val="00413ED8"/>
    <w:rsid w:val="004142AB"/>
    <w:rsid w:val="0041461E"/>
    <w:rsid w:val="004153E4"/>
    <w:rsid w:val="00415F4C"/>
    <w:rsid w:val="00416F7F"/>
    <w:rsid w:val="004208D6"/>
    <w:rsid w:val="0042166F"/>
    <w:rsid w:val="00421751"/>
    <w:rsid w:val="00421991"/>
    <w:rsid w:val="00422EBD"/>
    <w:rsid w:val="004241B7"/>
    <w:rsid w:val="0042470B"/>
    <w:rsid w:val="00424E3E"/>
    <w:rsid w:val="0042542D"/>
    <w:rsid w:val="00430392"/>
    <w:rsid w:val="00430708"/>
    <w:rsid w:val="00431EAF"/>
    <w:rsid w:val="0043596A"/>
    <w:rsid w:val="004368AE"/>
    <w:rsid w:val="00436F60"/>
    <w:rsid w:val="00436FBD"/>
    <w:rsid w:val="00437439"/>
    <w:rsid w:val="0044050C"/>
    <w:rsid w:val="0044148F"/>
    <w:rsid w:val="00442F1D"/>
    <w:rsid w:val="00443035"/>
    <w:rsid w:val="004432C7"/>
    <w:rsid w:val="00443811"/>
    <w:rsid w:val="004440D3"/>
    <w:rsid w:val="004442C0"/>
    <w:rsid w:val="00445B88"/>
    <w:rsid w:val="00446EB7"/>
    <w:rsid w:val="00446F28"/>
    <w:rsid w:val="00447787"/>
    <w:rsid w:val="0045135A"/>
    <w:rsid w:val="00451E54"/>
    <w:rsid w:val="00451E94"/>
    <w:rsid w:val="00452E4A"/>
    <w:rsid w:val="00453093"/>
    <w:rsid w:val="004545F6"/>
    <w:rsid w:val="0046190D"/>
    <w:rsid w:val="00461A21"/>
    <w:rsid w:val="00462157"/>
    <w:rsid w:val="00462F8A"/>
    <w:rsid w:val="00463272"/>
    <w:rsid w:val="004647BA"/>
    <w:rsid w:val="004728C2"/>
    <w:rsid w:val="00473100"/>
    <w:rsid w:val="0047317B"/>
    <w:rsid w:val="00473571"/>
    <w:rsid w:val="0047394D"/>
    <w:rsid w:val="004739E3"/>
    <w:rsid w:val="0047400C"/>
    <w:rsid w:val="004748A3"/>
    <w:rsid w:val="00474A05"/>
    <w:rsid w:val="00474F01"/>
    <w:rsid w:val="00475440"/>
    <w:rsid w:val="00475F3D"/>
    <w:rsid w:val="00476C03"/>
    <w:rsid w:val="00477062"/>
    <w:rsid w:val="00480BCA"/>
    <w:rsid w:val="004810D8"/>
    <w:rsid w:val="00482B67"/>
    <w:rsid w:val="004853D3"/>
    <w:rsid w:val="004854E8"/>
    <w:rsid w:val="00485B2A"/>
    <w:rsid w:val="00486CEF"/>
    <w:rsid w:val="00486ECC"/>
    <w:rsid w:val="00486FFD"/>
    <w:rsid w:val="0049099F"/>
    <w:rsid w:val="00491840"/>
    <w:rsid w:val="004930A7"/>
    <w:rsid w:val="004944E7"/>
    <w:rsid w:val="004950D3"/>
    <w:rsid w:val="0049581A"/>
    <w:rsid w:val="004A04B2"/>
    <w:rsid w:val="004A2DE0"/>
    <w:rsid w:val="004A35B8"/>
    <w:rsid w:val="004A35D1"/>
    <w:rsid w:val="004A6FDE"/>
    <w:rsid w:val="004A7572"/>
    <w:rsid w:val="004B00B9"/>
    <w:rsid w:val="004B0E84"/>
    <w:rsid w:val="004B138D"/>
    <w:rsid w:val="004B6779"/>
    <w:rsid w:val="004B6914"/>
    <w:rsid w:val="004B75FF"/>
    <w:rsid w:val="004C147C"/>
    <w:rsid w:val="004C1FA1"/>
    <w:rsid w:val="004C23E1"/>
    <w:rsid w:val="004C2E1A"/>
    <w:rsid w:val="004C320D"/>
    <w:rsid w:val="004C3C84"/>
    <w:rsid w:val="004C58E1"/>
    <w:rsid w:val="004C76CE"/>
    <w:rsid w:val="004C773B"/>
    <w:rsid w:val="004C78CE"/>
    <w:rsid w:val="004D0A41"/>
    <w:rsid w:val="004D1BBB"/>
    <w:rsid w:val="004D38E9"/>
    <w:rsid w:val="004D4552"/>
    <w:rsid w:val="004D499F"/>
    <w:rsid w:val="004D5745"/>
    <w:rsid w:val="004D5A34"/>
    <w:rsid w:val="004D5B8B"/>
    <w:rsid w:val="004D77C6"/>
    <w:rsid w:val="004D7F9F"/>
    <w:rsid w:val="004E0250"/>
    <w:rsid w:val="004E1EC0"/>
    <w:rsid w:val="004E2A7F"/>
    <w:rsid w:val="004E3182"/>
    <w:rsid w:val="004E32A2"/>
    <w:rsid w:val="004E36D4"/>
    <w:rsid w:val="004E4E8D"/>
    <w:rsid w:val="004E52C8"/>
    <w:rsid w:val="004E616F"/>
    <w:rsid w:val="004F1A8E"/>
    <w:rsid w:val="004F39F1"/>
    <w:rsid w:val="004F7BB9"/>
    <w:rsid w:val="004F7EF6"/>
    <w:rsid w:val="00502625"/>
    <w:rsid w:val="005028C8"/>
    <w:rsid w:val="00502BEB"/>
    <w:rsid w:val="00502E13"/>
    <w:rsid w:val="00502E84"/>
    <w:rsid w:val="00504936"/>
    <w:rsid w:val="005101EF"/>
    <w:rsid w:val="005135E4"/>
    <w:rsid w:val="00514B86"/>
    <w:rsid w:val="00515745"/>
    <w:rsid w:val="005159BC"/>
    <w:rsid w:val="005165B1"/>
    <w:rsid w:val="00516CB6"/>
    <w:rsid w:val="005178B5"/>
    <w:rsid w:val="00521744"/>
    <w:rsid w:val="0052186F"/>
    <w:rsid w:val="005227CC"/>
    <w:rsid w:val="005242D6"/>
    <w:rsid w:val="00524AB2"/>
    <w:rsid w:val="00524AE0"/>
    <w:rsid w:val="00525E82"/>
    <w:rsid w:val="00526BB8"/>
    <w:rsid w:val="005270EF"/>
    <w:rsid w:val="00527AAF"/>
    <w:rsid w:val="005312C3"/>
    <w:rsid w:val="00534FB2"/>
    <w:rsid w:val="005350EC"/>
    <w:rsid w:val="005405F8"/>
    <w:rsid w:val="0054107D"/>
    <w:rsid w:val="005412AF"/>
    <w:rsid w:val="00541317"/>
    <w:rsid w:val="005426E0"/>
    <w:rsid w:val="0054390C"/>
    <w:rsid w:val="005449A6"/>
    <w:rsid w:val="005454B2"/>
    <w:rsid w:val="00546BEC"/>
    <w:rsid w:val="0055171C"/>
    <w:rsid w:val="00551CA5"/>
    <w:rsid w:val="005529B7"/>
    <w:rsid w:val="0055312B"/>
    <w:rsid w:val="00553E97"/>
    <w:rsid w:val="00556726"/>
    <w:rsid w:val="00560C5B"/>
    <w:rsid w:val="00560F55"/>
    <w:rsid w:val="00561F6A"/>
    <w:rsid w:val="00562E8B"/>
    <w:rsid w:val="00563D58"/>
    <w:rsid w:val="005642F5"/>
    <w:rsid w:val="00564C41"/>
    <w:rsid w:val="00564EF2"/>
    <w:rsid w:val="00565465"/>
    <w:rsid w:val="0056653B"/>
    <w:rsid w:val="005720CA"/>
    <w:rsid w:val="00572E87"/>
    <w:rsid w:val="005752F6"/>
    <w:rsid w:val="0057533E"/>
    <w:rsid w:val="00575901"/>
    <w:rsid w:val="00575EEC"/>
    <w:rsid w:val="00576FD3"/>
    <w:rsid w:val="0057761B"/>
    <w:rsid w:val="00581759"/>
    <w:rsid w:val="005838B6"/>
    <w:rsid w:val="00583E1E"/>
    <w:rsid w:val="005840B6"/>
    <w:rsid w:val="00585831"/>
    <w:rsid w:val="00586737"/>
    <w:rsid w:val="00590ED4"/>
    <w:rsid w:val="005917B5"/>
    <w:rsid w:val="00592CAC"/>
    <w:rsid w:val="00595EC4"/>
    <w:rsid w:val="005A0619"/>
    <w:rsid w:val="005A100B"/>
    <w:rsid w:val="005A2B3E"/>
    <w:rsid w:val="005A3158"/>
    <w:rsid w:val="005A4393"/>
    <w:rsid w:val="005A4B1C"/>
    <w:rsid w:val="005A59CF"/>
    <w:rsid w:val="005B3555"/>
    <w:rsid w:val="005B363E"/>
    <w:rsid w:val="005B4E4B"/>
    <w:rsid w:val="005B5185"/>
    <w:rsid w:val="005B62AD"/>
    <w:rsid w:val="005B6DF1"/>
    <w:rsid w:val="005B7B59"/>
    <w:rsid w:val="005C03BD"/>
    <w:rsid w:val="005C0496"/>
    <w:rsid w:val="005C067D"/>
    <w:rsid w:val="005C09D8"/>
    <w:rsid w:val="005C47E6"/>
    <w:rsid w:val="005C5131"/>
    <w:rsid w:val="005C523B"/>
    <w:rsid w:val="005C6EDA"/>
    <w:rsid w:val="005D0AF2"/>
    <w:rsid w:val="005D1483"/>
    <w:rsid w:val="005D1957"/>
    <w:rsid w:val="005D50EB"/>
    <w:rsid w:val="005D6F3F"/>
    <w:rsid w:val="005D7251"/>
    <w:rsid w:val="005E0DCC"/>
    <w:rsid w:val="005E2600"/>
    <w:rsid w:val="005E34D2"/>
    <w:rsid w:val="005E4553"/>
    <w:rsid w:val="005E48E9"/>
    <w:rsid w:val="005E4A1E"/>
    <w:rsid w:val="005E6952"/>
    <w:rsid w:val="005E7617"/>
    <w:rsid w:val="005F0951"/>
    <w:rsid w:val="005F1CF6"/>
    <w:rsid w:val="005F3FCD"/>
    <w:rsid w:val="005F51A1"/>
    <w:rsid w:val="005F5B12"/>
    <w:rsid w:val="006008C2"/>
    <w:rsid w:val="0060189E"/>
    <w:rsid w:val="00601F15"/>
    <w:rsid w:val="00602621"/>
    <w:rsid w:val="00602E3A"/>
    <w:rsid w:val="006035A6"/>
    <w:rsid w:val="006043F9"/>
    <w:rsid w:val="00607090"/>
    <w:rsid w:val="00607ACA"/>
    <w:rsid w:val="00611847"/>
    <w:rsid w:val="006126DD"/>
    <w:rsid w:val="00612B85"/>
    <w:rsid w:val="00614016"/>
    <w:rsid w:val="00614192"/>
    <w:rsid w:val="00614C28"/>
    <w:rsid w:val="00615710"/>
    <w:rsid w:val="00615CF6"/>
    <w:rsid w:val="00615DB3"/>
    <w:rsid w:val="00615E6A"/>
    <w:rsid w:val="0061636F"/>
    <w:rsid w:val="006203BA"/>
    <w:rsid w:val="00621022"/>
    <w:rsid w:val="00622E7C"/>
    <w:rsid w:val="00623B86"/>
    <w:rsid w:val="0062496F"/>
    <w:rsid w:val="00626C4F"/>
    <w:rsid w:val="00627215"/>
    <w:rsid w:val="006272DE"/>
    <w:rsid w:val="006276D4"/>
    <w:rsid w:val="006348BB"/>
    <w:rsid w:val="00635790"/>
    <w:rsid w:val="00636A15"/>
    <w:rsid w:val="00636AA9"/>
    <w:rsid w:val="006370CF"/>
    <w:rsid w:val="00637512"/>
    <w:rsid w:val="00637561"/>
    <w:rsid w:val="00641BA4"/>
    <w:rsid w:val="00642A09"/>
    <w:rsid w:val="00644703"/>
    <w:rsid w:val="00645600"/>
    <w:rsid w:val="006459BF"/>
    <w:rsid w:val="00645D63"/>
    <w:rsid w:val="00645FA0"/>
    <w:rsid w:val="0064763F"/>
    <w:rsid w:val="006477EB"/>
    <w:rsid w:val="00647964"/>
    <w:rsid w:val="00647C6C"/>
    <w:rsid w:val="00650CCB"/>
    <w:rsid w:val="00651A00"/>
    <w:rsid w:val="0065234E"/>
    <w:rsid w:val="00653E1E"/>
    <w:rsid w:val="00654BA5"/>
    <w:rsid w:val="00654E95"/>
    <w:rsid w:val="00660CD8"/>
    <w:rsid w:val="0066120F"/>
    <w:rsid w:val="00661305"/>
    <w:rsid w:val="006630CD"/>
    <w:rsid w:val="006636DF"/>
    <w:rsid w:val="00664393"/>
    <w:rsid w:val="006647C7"/>
    <w:rsid w:val="00664F44"/>
    <w:rsid w:val="00670BC2"/>
    <w:rsid w:val="00671FED"/>
    <w:rsid w:val="006721C6"/>
    <w:rsid w:val="006739D3"/>
    <w:rsid w:val="00673D51"/>
    <w:rsid w:val="00674C54"/>
    <w:rsid w:val="0067798C"/>
    <w:rsid w:val="00681294"/>
    <w:rsid w:val="00682129"/>
    <w:rsid w:val="006829AC"/>
    <w:rsid w:val="00683842"/>
    <w:rsid w:val="00685457"/>
    <w:rsid w:val="00687BF6"/>
    <w:rsid w:val="00690F5C"/>
    <w:rsid w:val="00691939"/>
    <w:rsid w:val="00691986"/>
    <w:rsid w:val="00694347"/>
    <w:rsid w:val="00694DBF"/>
    <w:rsid w:val="00694E73"/>
    <w:rsid w:val="006964E8"/>
    <w:rsid w:val="00696588"/>
    <w:rsid w:val="006A00CA"/>
    <w:rsid w:val="006A0377"/>
    <w:rsid w:val="006A277D"/>
    <w:rsid w:val="006A3352"/>
    <w:rsid w:val="006A404C"/>
    <w:rsid w:val="006A5749"/>
    <w:rsid w:val="006A5ADE"/>
    <w:rsid w:val="006A5C65"/>
    <w:rsid w:val="006B001D"/>
    <w:rsid w:val="006B0ACD"/>
    <w:rsid w:val="006B304C"/>
    <w:rsid w:val="006B3529"/>
    <w:rsid w:val="006B3B23"/>
    <w:rsid w:val="006B3B9F"/>
    <w:rsid w:val="006B713C"/>
    <w:rsid w:val="006C04CF"/>
    <w:rsid w:val="006C0FD6"/>
    <w:rsid w:val="006C3AD9"/>
    <w:rsid w:val="006C6EE6"/>
    <w:rsid w:val="006C70DC"/>
    <w:rsid w:val="006D074C"/>
    <w:rsid w:val="006D12CB"/>
    <w:rsid w:val="006D16C6"/>
    <w:rsid w:val="006D1CD0"/>
    <w:rsid w:val="006D2EC2"/>
    <w:rsid w:val="006D4327"/>
    <w:rsid w:val="006D47A5"/>
    <w:rsid w:val="006D56BF"/>
    <w:rsid w:val="006D648F"/>
    <w:rsid w:val="006D685B"/>
    <w:rsid w:val="006D70F1"/>
    <w:rsid w:val="006D78C3"/>
    <w:rsid w:val="006E0F84"/>
    <w:rsid w:val="006E1744"/>
    <w:rsid w:val="006E1F2B"/>
    <w:rsid w:val="006E2407"/>
    <w:rsid w:val="006E3440"/>
    <w:rsid w:val="006E5431"/>
    <w:rsid w:val="006E67FF"/>
    <w:rsid w:val="006E7ACB"/>
    <w:rsid w:val="006F2327"/>
    <w:rsid w:val="006F2437"/>
    <w:rsid w:val="006F2986"/>
    <w:rsid w:val="006F3899"/>
    <w:rsid w:val="006F410B"/>
    <w:rsid w:val="006F55D4"/>
    <w:rsid w:val="006F5A3F"/>
    <w:rsid w:val="006F5BF5"/>
    <w:rsid w:val="006F6622"/>
    <w:rsid w:val="006F6A62"/>
    <w:rsid w:val="00702F5B"/>
    <w:rsid w:val="00704A40"/>
    <w:rsid w:val="00704F27"/>
    <w:rsid w:val="007051D8"/>
    <w:rsid w:val="00705961"/>
    <w:rsid w:val="00705E97"/>
    <w:rsid w:val="00706EAE"/>
    <w:rsid w:val="00707575"/>
    <w:rsid w:val="00707CFD"/>
    <w:rsid w:val="00710E75"/>
    <w:rsid w:val="0071193F"/>
    <w:rsid w:val="007123F9"/>
    <w:rsid w:val="00712FDB"/>
    <w:rsid w:val="00713295"/>
    <w:rsid w:val="00713EDD"/>
    <w:rsid w:val="00714441"/>
    <w:rsid w:val="00716765"/>
    <w:rsid w:val="007168FA"/>
    <w:rsid w:val="00722C8F"/>
    <w:rsid w:val="00723268"/>
    <w:rsid w:val="00723477"/>
    <w:rsid w:val="007236DE"/>
    <w:rsid w:val="0072486D"/>
    <w:rsid w:val="00724E85"/>
    <w:rsid w:val="0072564C"/>
    <w:rsid w:val="00726A8C"/>
    <w:rsid w:val="007275E2"/>
    <w:rsid w:val="00727767"/>
    <w:rsid w:val="007300B7"/>
    <w:rsid w:val="00730405"/>
    <w:rsid w:val="00731B7F"/>
    <w:rsid w:val="00732306"/>
    <w:rsid w:val="0073310B"/>
    <w:rsid w:val="00733F40"/>
    <w:rsid w:val="00734C11"/>
    <w:rsid w:val="00735913"/>
    <w:rsid w:val="00736603"/>
    <w:rsid w:val="00736EC7"/>
    <w:rsid w:val="00737EDD"/>
    <w:rsid w:val="00740A0D"/>
    <w:rsid w:val="00741919"/>
    <w:rsid w:val="00741C9F"/>
    <w:rsid w:val="007434ED"/>
    <w:rsid w:val="00744D6E"/>
    <w:rsid w:val="00745356"/>
    <w:rsid w:val="00746639"/>
    <w:rsid w:val="00747D2A"/>
    <w:rsid w:val="007507B1"/>
    <w:rsid w:val="0075112F"/>
    <w:rsid w:val="00753407"/>
    <w:rsid w:val="00753767"/>
    <w:rsid w:val="00753E8B"/>
    <w:rsid w:val="0075493B"/>
    <w:rsid w:val="00754F38"/>
    <w:rsid w:val="00755204"/>
    <w:rsid w:val="00755543"/>
    <w:rsid w:val="00755872"/>
    <w:rsid w:val="00757651"/>
    <w:rsid w:val="00757813"/>
    <w:rsid w:val="0076078F"/>
    <w:rsid w:val="00760D35"/>
    <w:rsid w:val="00761AA1"/>
    <w:rsid w:val="00763B26"/>
    <w:rsid w:val="00765F82"/>
    <w:rsid w:val="0076652E"/>
    <w:rsid w:val="00766A94"/>
    <w:rsid w:val="00767245"/>
    <w:rsid w:val="007735A1"/>
    <w:rsid w:val="00773EA0"/>
    <w:rsid w:val="00774250"/>
    <w:rsid w:val="00774A03"/>
    <w:rsid w:val="00774B7D"/>
    <w:rsid w:val="00775272"/>
    <w:rsid w:val="007767E6"/>
    <w:rsid w:val="00776DAA"/>
    <w:rsid w:val="00776DD1"/>
    <w:rsid w:val="0077720D"/>
    <w:rsid w:val="00777474"/>
    <w:rsid w:val="007776A0"/>
    <w:rsid w:val="00777D32"/>
    <w:rsid w:val="00780F21"/>
    <w:rsid w:val="00781E04"/>
    <w:rsid w:val="00782A1B"/>
    <w:rsid w:val="00783F48"/>
    <w:rsid w:val="00784FFE"/>
    <w:rsid w:val="00790844"/>
    <w:rsid w:val="00790D91"/>
    <w:rsid w:val="00791213"/>
    <w:rsid w:val="00791E08"/>
    <w:rsid w:val="00792FBA"/>
    <w:rsid w:val="00793483"/>
    <w:rsid w:val="00793C43"/>
    <w:rsid w:val="0079648F"/>
    <w:rsid w:val="00796AAB"/>
    <w:rsid w:val="007974C5"/>
    <w:rsid w:val="007A1114"/>
    <w:rsid w:val="007A21E7"/>
    <w:rsid w:val="007A3DCE"/>
    <w:rsid w:val="007A6BC4"/>
    <w:rsid w:val="007A72B6"/>
    <w:rsid w:val="007A733C"/>
    <w:rsid w:val="007A74CD"/>
    <w:rsid w:val="007B0334"/>
    <w:rsid w:val="007B0DCC"/>
    <w:rsid w:val="007B26DA"/>
    <w:rsid w:val="007B37B2"/>
    <w:rsid w:val="007B38C1"/>
    <w:rsid w:val="007B5095"/>
    <w:rsid w:val="007B621B"/>
    <w:rsid w:val="007B66E1"/>
    <w:rsid w:val="007B7F8C"/>
    <w:rsid w:val="007C1F55"/>
    <w:rsid w:val="007C3175"/>
    <w:rsid w:val="007C32C1"/>
    <w:rsid w:val="007C6265"/>
    <w:rsid w:val="007C769E"/>
    <w:rsid w:val="007C76FA"/>
    <w:rsid w:val="007C7AC5"/>
    <w:rsid w:val="007C7E5A"/>
    <w:rsid w:val="007D26C5"/>
    <w:rsid w:val="007D4C23"/>
    <w:rsid w:val="007D5063"/>
    <w:rsid w:val="007D638A"/>
    <w:rsid w:val="007E1D90"/>
    <w:rsid w:val="007E2988"/>
    <w:rsid w:val="007E2D3D"/>
    <w:rsid w:val="007E51AC"/>
    <w:rsid w:val="007E539E"/>
    <w:rsid w:val="007E6832"/>
    <w:rsid w:val="007E7330"/>
    <w:rsid w:val="007E7F80"/>
    <w:rsid w:val="007F19C8"/>
    <w:rsid w:val="007F3193"/>
    <w:rsid w:val="007F35D2"/>
    <w:rsid w:val="007F509D"/>
    <w:rsid w:val="007F541F"/>
    <w:rsid w:val="007F5708"/>
    <w:rsid w:val="007F6061"/>
    <w:rsid w:val="007F622C"/>
    <w:rsid w:val="007F7AF7"/>
    <w:rsid w:val="00800194"/>
    <w:rsid w:val="00800501"/>
    <w:rsid w:val="00800F63"/>
    <w:rsid w:val="00801DA4"/>
    <w:rsid w:val="00802AB9"/>
    <w:rsid w:val="00804ACE"/>
    <w:rsid w:val="00806BE6"/>
    <w:rsid w:val="008077F5"/>
    <w:rsid w:val="00807BA8"/>
    <w:rsid w:val="008141E0"/>
    <w:rsid w:val="00816946"/>
    <w:rsid w:val="00816CDA"/>
    <w:rsid w:val="0082028E"/>
    <w:rsid w:val="00821622"/>
    <w:rsid w:val="0082211D"/>
    <w:rsid w:val="008233D8"/>
    <w:rsid w:val="00823771"/>
    <w:rsid w:val="0082381E"/>
    <w:rsid w:val="0082390E"/>
    <w:rsid w:val="00825C47"/>
    <w:rsid w:val="00827016"/>
    <w:rsid w:val="00827CA2"/>
    <w:rsid w:val="0083014B"/>
    <w:rsid w:val="00831A27"/>
    <w:rsid w:val="0083363D"/>
    <w:rsid w:val="0083425F"/>
    <w:rsid w:val="00834402"/>
    <w:rsid w:val="0083656C"/>
    <w:rsid w:val="00836AC0"/>
    <w:rsid w:val="00836D3D"/>
    <w:rsid w:val="00842D9D"/>
    <w:rsid w:val="00845BD8"/>
    <w:rsid w:val="00845EFD"/>
    <w:rsid w:val="00846FD1"/>
    <w:rsid w:val="00847E86"/>
    <w:rsid w:val="0085109D"/>
    <w:rsid w:val="008517AC"/>
    <w:rsid w:val="00852782"/>
    <w:rsid w:val="00852900"/>
    <w:rsid w:val="008547E6"/>
    <w:rsid w:val="00854F4C"/>
    <w:rsid w:val="00854FB3"/>
    <w:rsid w:val="00857EE6"/>
    <w:rsid w:val="008600C5"/>
    <w:rsid w:val="00862C7A"/>
    <w:rsid w:val="00863F34"/>
    <w:rsid w:val="008665A7"/>
    <w:rsid w:val="00866DFC"/>
    <w:rsid w:val="0086709E"/>
    <w:rsid w:val="00867711"/>
    <w:rsid w:val="00870A76"/>
    <w:rsid w:val="00870ACF"/>
    <w:rsid w:val="00871597"/>
    <w:rsid w:val="008726CD"/>
    <w:rsid w:val="008750EE"/>
    <w:rsid w:val="0087570F"/>
    <w:rsid w:val="00876FBD"/>
    <w:rsid w:val="00877A39"/>
    <w:rsid w:val="00881637"/>
    <w:rsid w:val="008822F3"/>
    <w:rsid w:val="00882440"/>
    <w:rsid w:val="00882AA2"/>
    <w:rsid w:val="00883661"/>
    <w:rsid w:val="00884821"/>
    <w:rsid w:val="00885607"/>
    <w:rsid w:val="008858C6"/>
    <w:rsid w:val="00887ED2"/>
    <w:rsid w:val="0089035F"/>
    <w:rsid w:val="0089248D"/>
    <w:rsid w:val="00894F12"/>
    <w:rsid w:val="00894F93"/>
    <w:rsid w:val="00894FBC"/>
    <w:rsid w:val="008950E0"/>
    <w:rsid w:val="008964CE"/>
    <w:rsid w:val="00896A1B"/>
    <w:rsid w:val="00897783"/>
    <w:rsid w:val="008A109E"/>
    <w:rsid w:val="008A14C7"/>
    <w:rsid w:val="008A16A2"/>
    <w:rsid w:val="008A25A9"/>
    <w:rsid w:val="008A2B31"/>
    <w:rsid w:val="008A41ED"/>
    <w:rsid w:val="008A59EB"/>
    <w:rsid w:val="008A5E82"/>
    <w:rsid w:val="008A6117"/>
    <w:rsid w:val="008A6259"/>
    <w:rsid w:val="008A65A6"/>
    <w:rsid w:val="008A6D88"/>
    <w:rsid w:val="008B05BE"/>
    <w:rsid w:val="008B0F18"/>
    <w:rsid w:val="008B2A72"/>
    <w:rsid w:val="008B2C6F"/>
    <w:rsid w:val="008B352A"/>
    <w:rsid w:val="008B39A3"/>
    <w:rsid w:val="008B446D"/>
    <w:rsid w:val="008B44B7"/>
    <w:rsid w:val="008B44D6"/>
    <w:rsid w:val="008B5776"/>
    <w:rsid w:val="008B6C4E"/>
    <w:rsid w:val="008B73D1"/>
    <w:rsid w:val="008B7667"/>
    <w:rsid w:val="008C3B50"/>
    <w:rsid w:val="008C3D4D"/>
    <w:rsid w:val="008C6E7D"/>
    <w:rsid w:val="008C7100"/>
    <w:rsid w:val="008D1CCF"/>
    <w:rsid w:val="008D3D48"/>
    <w:rsid w:val="008D4CE4"/>
    <w:rsid w:val="008E008C"/>
    <w:rsid w:val="008E14F0"/>
    <w:rsid w:val="008E1F9E"/>
    <w:rsid w:val="008E27CB"/>
    <w:rsid w:val="008E325A"/>
    <w:rsid w:val="008F33CE"/>
    <w:rsid w:val="008F567C"/>
    <w:rsid w:val="008F6F53"/>
    <w:rsid w:val="008F732E"/>
    <w:rsid w:val="009007EE"/>
    <w:rsid w:val="0090142E"/>
    <w:rsid w:val="00903261"/>
    <w:rsid w:val="0090634E"/>
    <w:rsid w:val="00906BF3"/>
    <w:rsid w:val="00912FD6"/>
    <w:rsid w:val="00914AF6"/>
    <w:rsid w:val="0091633D"/>
    <w:rsid w:val="00920CCA"/>
    <w:rsid w:val="00922F52"/>
    <w:rsid w:val="00923AF5"/>
    <w:rsid w:val="00924CC8"/>
    <w:rsid w:val="00927175"/>
    <w:rsid w:val="00927F1E"/>
    <w:rsid w:val="00930736"/>
    <w:rsid w:val="009327FF"/>
    <w:rsid w:val="00934B6F"/>
    <w:rsid w:val="009368F7"/>
    <w:rsid w:val="00937E72"/>
    <w:rsid w:val="00937F83"/>
    <w:rsid w:val="00940A42"/>
    <w:rsid w:val="00940C85"/>
    <w:rsid w:val="009425BC"/>
    <w:rsid w:val="00944668"/>
    <w:rsid w:val="009449AE"/>
    <w:rsid w:val="00945099"/>
    <w:rsid w:val="009466D3"/>
    <w:rsid w:val="00947DF4"/>
    <w:rsid w:val="0095141C"/>
    <w:rsid w:val="00951C84"/>
    <w:rsid w:val="00951D48"/>
    <w:rsid w:val="00953329"/>
    <w:rsid w:val="009539D7"/>
    <w:rsid w:val="00955CE0"/>
    <w:rsid w:val="00957E14"/>
    <w:rsid w:val="009615BE"/>
    <w:rsid w:val="00966A65"/>
    <w:rsid w:val="00967D1A"/>
    <w:rsid w:val="00970D45"/>
    <w:rsid w:val="009721FA"/>
    <w:rsid w:val="009760F9"/>
    <w:rsid w:val="00980232"/>
    <w:rsid w:val="009818C3"/>
    <w:rsid w:val="009825D6"/>
    <w:rsid w:val="009839A0"/>
    <w:rsid w:val="009852E8"/>
    <w:rsid w:val="00987E84"/>
    <w:rsid w:val="00993607"/>
    <w:rsid w:val="00993C13"/>
    <w:rsid w:val="009A09D0"/>
    <w:rsid w:val="009A137F"/>
    <w:rsid w:val="009A180B"/>
    <w:rsid w:val="009A1FE7"/>
    <w:rsid w:val="009A2630"/>
    <w:rsid w:val="009A31C5"/>
    <w:rsid w:val="009A49CA"/>
    <w:rsid w:val="009A5666"/>
    <w:rsid w:val="009A62AF"/>
    <w:rsid w:val="009A66BB"/>
    <w:rsid w:val="009A6E8E"/>
    <w:rsid w:val="009B0B20"/>
    <w:rsid w:val="009B124B"/>
    <w:rsid w:val="009B136B"/>
    <w:rsid w:val="009B14B9"/>
    <w:rsid w:val="009B1FFE"/>
    <w:rsid w:val="009B3F1A"/>
    <w:rsid w:val="009B4E16"/>
    <w:rsid w:val="009B4ED0"/>
    <w:rsid w:val="009B5436"/>
    <w:rsid w:val="009B5576"/>
    <w:rsid w:val="009C11B8"/>
    <w:rsid w:val="009C17BC"/>
    <w:rsid w:val="009C2467"/>
    <w:rsid w:val="009C3896"/>
    <w:rsid w:val="009C4180"/>
    <w:rsid w:val="009C41E0"/>
    <w:rsid w:val="009C45C0"/>
    <w:rsid w:val="009C5242"/>
    <w:rsid w:val="009C5DF1"/>
    <w:rsid w:val="009C669E"/>
    <w:rsid w:val="009C6C11"/>
    <w:rsid w:val="009C6C2F"/>
    <w:rsid w:val="009D191B"/>
    <w:rsid w:val="009D3667"/>
    <w:rsid w:val="009D45A5"/>
    <w:rsid w:val="009D58C8"/>
    <w:rsid w:val="009D6E4E"/>
    <w:rsid w:val="009D6FEE"/>
    <w:rsid w:val="009D70A6"/>
    <w:rsid w:val="009D72CA"/>
    <w:rsid w:val="009E0F60"/>
    <w:rsid w:val="009E207B"/>
    <w:rsid w:val="009E2C70"/>
    <w:rsid w:val="009E2FE1"/>
    <w:rsid w:val="009E49D4"/>
    <w:rsid w:val="009E7C84"/>
    <w:rsid w:val="009F08ED"/>
    <w:rsid w:val="009F139E"/>
    <w:rsid w:val="009F2860"/>
    <w:rsid w:val="009F3D26"/>
    <w:rsid w:val="009F4EB2"/>
    <w:rsid w:val="009F6392"/>
    <w:rsid w:val="009F6AF0"/>
    <w:rsid w:val="009F75AD"/>
    <w:rsid w:val="009F7AC4"/>
    <w:rsid w:val="00A00241"/>
    <w:rsid w:val="00A0170D"/>
    <w:rsid w:val="00A01719"/>
    <w:rsid w:val="00A02344"/>
    <w:rsid w:val="00A04928"/>
    <w:rsid w:val="00A052DF"/>
    <w:rsid w:val="00A07497"/>
    <w:rsid w:val="00A11BED"/>
    <w:rsid w:val="00A12A1C"/>
    <w:rsid w:val="00A12DCD"/>
    <w:rsid w:val="00A1486A"/>
    <w:rsid w:val="00A14D23"/>
    <w:rsid w:val="00A15314"/>
    <w:rsid w:val="00A161AF"/>
    <w:rsid w:val="00A17F02"/>
    <w:rsid w:val="00A23205"/>
    <w:rsid w:val="00A274F1"/>
    <w:rsid w:val="00A31DA1"/>
    <w:rsid w:val="00A32905"/>
    <w:rsid w:val="00A34799"/>
    <w:rsid w:val="00A370F8"/>
    <w:rsid w:val="00A43397"/>
    <w:rsid w:val="00A441A0"/>
    <w:rsid w:val="00A443DF"/>
    <w:rsid w:val="00A44441"/>
    <w:rsid w:val="00A44A76"/>
    <w:rsid w:val="00A46BBC"/>
    <w:rsid w:val="00A53609"/>
    <w:rsid w:val="00A53923"/>
    <w:rsid w:val="00A556C8"/>
    <w:rsid w:val="00A5680F"/>
    <w:rsid w:val="00A57F8C"/>
    <w:rsid w:val="00A61776"/>
    <w:rsid w:val="00A618EC"/>
    <w:rsid w:val="00A6252C"/>
    <w:rsid w:val="00A62551"/>
    <w:rsid w:val="00A63863"/>
    <w:rsid w:val="00A649C7"/>
    <w:rsid w:val="00A662B7"/>
    <w:rsid w:val="00A7022E"/>
    <w:rsid w:val="00A7047B"/>
    <w:rsid w:val="00A707ED"/>
    <w:rsid w:val="00A70BC9"/>
    <w:rsid w:val="00A72C25"/>
    <w:rsid w:val="00A72E6A"/>
    <w:rsid w:val="00A73ABE"/>
    <w:rsid w:val="00A73D45"/>
    <w:rsid w:val="00A741E1"/>
    <w:rsid w:val="00A753FD"/>
    <w:rsid w:val="00A755DA"/>
    <w:rsid w:val="00A76E36"/>
    <w:rsid w:val="00A7749D"/>
    <w:rsid w:val="00A8001B"/>
    <w:rsid w:val="00A801CD"/>
    <w:rsid w:val="00A8137A"/>
    <w:rsid w:val="00A81764"/>
    <w:rsid w:val="00A821AF"/>
    <w:rsid w:val="00A822C9"/>
    <w:rsid w:val="00A82DA1"/>
    <w:rsid w:val="00A8349F"/>
    <w:rsid w:val="00A83A71"/>
    <w:rsid w:val="00A83C7B"/>
    <w:rsid w:val="00A8764D"/>
    <w:rsid w:val="00A8791C"/>
    <w:rsid w:val="00A87F8B"/>
    <w:rsid w:val="00A9020C"/>
    <w:rsid w:val="00A91E15"/>
    <w:rsid w:val="00A93181"/>
    <w:rsid w:val="00A93893"/>
    <w:rsid w:val="00A9451D"/>
    <w:rsid w:val="00A95BE5"/>
    <w:rsid w:val="00A96518"/>
    <w:rsid w:val="00A977FE"/>
    <w:rsid w:val="00AA0446"/>
    <w:rsid w:val="00AA15DA"/>
    <w:rsid w:val="00AA28F4"/>
    <w:rsid w:val="00AA3B4D"/>
    <w:rsid w:val="00AA46A4"/>
    <w:rsid w:val="00AA5D10"/>
    <w:rsid w:val="00AA5F01"/>
    <w:rsid w:val="00AA605C"/>
    <w:rsid w:val="00AA6F1F"/>
    <w:rsid w:val="00AA73B5"/>
    <w:rsid w:val="00AA7CF1"/>
    <w:rsid w:val="00AB0484"/>
    <w:rsid w:val="00AB12F5"/>
    <w:rsid w:val="00AB4E24"/>
    <w:rsid w:val="00AC00B5"/>
    <w:rsid w:val="00AC39C2"/>
    <w:rsid w:val="00AD08D0"/>
    <w:rsid w:val="00AD17EF"/>
    <w:rsid w:val="00AD1D4B"/>
    <w:rsid w:val="00AD24A4"/>
    <w:rsid w:val="00AD2528"/>
    <w:rsid w:val="00AD2599"/>
    <w:rsid w:val="00AD2687"/>
    <w:rsid w:val="00AD29CE"/>
    <w:rsid w:val="00AD40DB"/>
    <w:rsid w:val="00AD6719"/>
    <w:rsid w:val="00AD7710"/>
    <w:rsid w:val="00AE0258"/>
    <w:rsid w:val="00AE0938"/>
    <w:rsid w:val="00AE18F0"/>
    <w:rsid w:val="00AE2188"/>
    <w:rsid w:val="00AE3789"/>
    <w:rsid w:val="00AE3DD7"/>
    <w:rsid w:val="00AE4C9C"/>
    <w:rsid w:val="00AE5978"/>
    <w:rsid w:val="00AF002F"/>
    <w:rsid w:val="00AF01C6"/>
    <w:rsid w:val="00AF0458"/>
    <w:rsid w:val="00AF2543"/>
    <w:rsid w:val="00AF2CD6"/>
    <w:rsid w:val="00AF3827"/>
    <w:rsid w:val="00AF3FCC"/>
    <w:rsid w:val="00AF4B1E"/>
    <w:rsid w:val="00AF4D79"/>
    <w:rsid w:val="00AF5108"/>
    <w:rsid w:val="00B0049F"/>
    <w:rsid w:val="00B0141B"/>
    <w:rsid w:val="00B014A0"/>
    <w:rsid w:val="00B0225C"/>
    <w:rsid w:val="00B03C8E"/>
    <w:rsid w:val="00B04209"/>
    <w:rsid w:val="00B104EE"/>
    <w:rsid w:val="00B10FDE"/>
    <w:rsid w:val="00B11334"/>
    <w:rsid w:val="00B12382"/>
    <w:rsid w:val="00B1247C"/>
    <w:rsid w:val="00B13034"/>
    <w:rsid w:val="00B131EA"/>
    <w:rsid w:val="00B139C4"/>
    <w:rsid w:val="00B160A9"/>
    <w:rsid w:val="00B160B6"/>
    <w:rsid w:val="00B167C0"/>
    <w:rsid w:val="00B247BF"/>
    <w:rsid w:val="00B2616B"/>
    <w:rsid w:val="00B264E8"/>
    <w:rsid w:val="00B26759"/>
    <w:rsid w:val="00B26C72"/>
    <w:rsid w:val="00B26E47"/>
    <w:rsid w:val="00B273D9"/>
    <w:rsid w:val="00B27D3B"/>
    <w:rsid w:val="00B303CC"/>
    <w:rsid w:val="00B32816"/>
    <w:rsid w:val="00B33DAF"/>
    <w:rsid w:val="00B34501"/>
    <w:rsid w:val="00B34D2D"/>
    <w:rsid w:val="00B35EE3"/>
    <w:rsid w:val="00B362DC"/>
    <w:rsid w:val="00B36D0F"/>
    <w:rsid w:val="00B36D5F"/>
    <w:rsid w:val="00B3712E"/>
    <w:rsid w:val="00B37942"/>
    <w:rsid w:val="00B404FF"/>
    <w:rsid w:val="00B4116D"/>
    <w:rsid w:val="00B41DE2"/>
    <w:rsid w:val="00B41F44"/>
    <w:rsid w:val="00B422AE"/>
    <w:rsid w:val="00B43528"/>
    <w:rsid w:val="00B43C42"/>
    <w:rsid w:val="00B45A75"/>
    <w:rsid w:val="00B506D3"/>
    <w:rsid w:val="00B5117C"/>
    <w:rsid w:val="00B512DC"/>
    <w:rsid w:val="00B515F2"/>
    <w:rsid w:val="00B51D17"/>
    <w:rsid w:val="00B53472"/>
    <w:rsid w:val="00B5347E"/>
    <w:rsid w:val="00B54181"/>
    <w:rsid w:val="00B5499A"/>
    <w:rsid w:val="00B54A2B"/>
    <w:rsid w:val="00B5638A"/>
    <w:rsid w:val="00B56F6E"/>
    <w:rsid w:val="00B57F02"/>
    <w:rsid w:val="00B6367E"/>
    <w:rsid w:val="00B63E5D"/>
    <w:rsid w:val="00B65FD0"/>
    <w:rsid w:val="00B668CA"/>
    <w:rsid w:val="00B67239"/>
    <w:rsid w:val="00B677CB"/>
    <w:rsid w:val="00B703DA"/>
    <w:rsid w:val="00B711B2"/>
    <w:rsid w:val="00B71234"/>
    <w:rsid w:val="00B7145B"/>
    <w:rsid w:val="00B71698"/>
    <w:rsid w:val="00B729C4"/>
    <w:rsid w:val="00B7411F"/>
    <w:rsid w:val="00B756B4"/>
    <w:rsid w:val="00B75A86"/>
    <w:rsid w:val="00B764B6"/>
    <w:rsid w:val="00B764D0"/>
    <w:rsid w:val="00B77A12"/>
    <w:rsid w:val="00B77EAF"/>
    <w:rsid w:val="00B8008B"/>
    <w:rsid w:val="00B807B7"/>
    <w:rsid w:val="00B811BC"/>
    <w:rsid w:val="00B8126D"/>
    <w:rsid w:val="00B812A6"/>
    <w:rsid w:val="00B83D35"/>
    <w:rsid w:val="00B8410C"/>
    <w:rsid w:val="00B846D6"/>
    <w:rsid w:val="00B8593A"/>
    <w:rsid w:val="00B85F0C"/>
    <w:rsid w:val="00B934F4"/>
    <w:rsid w:val="00B94243"/>
    <w:rsid w:val="00B94423"/>
    <w:rsid w:val="00B94801"/>
    <w:rsid w:val="00B94870"/>
    <w:rsid w:val="00B9563C"/>
    <w:rsid w:val="00B95696"/>
    <w:rsid w:val="00BA08D5"/>
    <w:rsid w:val="00BA17A5"/>
    <w:rsid w:val="00BA2BE4"/>
    <w:rsid w:val="00BA3A1B"/>
    <w:rsid w:val="00BA4703"/>
    <w:rsid w:val="00BA472D"/>
    <w:rsid w:val="00BA49A0"/>
    <w:rsid w:val="00BA505C"/>
    <w:rsid w:val="00BA5CC8"/>
    <w:rsid w:val="00BA63F8"/>
    <w:rsid w:val="00BA6525"/>
    <w:rsid w:val="00BA670A"/>
    <w:rsid w:val="00BA7662"/>
    <w:rsid w:val="00BB1E3E"/>
    <w:rsid w:val="00BB2F80"/>
    <w:rsid w:val="00BB36A1"/>
    <w:rsid w:val="00BB6149"/>
    <w:rsid w:val="00BB6DAA"/>
    <w:rsid w:val="00BC036C"/>
    <w:rsid w:val="00BC0BE9"/>
    <w:rsid w:val="00BC0C5F"/>
    <w:rsid w:val="00BC0FB4"/>
    <w:rsid w:val="00BC1054"/>
    <w:rsid w:val="00BC1D60"/>
    <w:rsid w:val="00BC2305"/>
    <w:rsid w:val="00BC23FC"/>
    <w:rsid w:val="00BC32CA"/>
    <w:rsid w:val="00BC454A"/>
    <w:rsid w:val="00BC56D1"/>
    <w:rsid w:val="00BC7A90"/>
    <w:rsid w:val="00BD035B"/>
    <w:rsid w:val="00BD0FC8"/>
    <w:rsid w:val="00BD13DA"/>
    <w:rsid w:val="00BD1596"/>
    <w:rsid w:val="00BD15E5"/>
    <w:rsid w:val="00BD27FA"/>
    <w:rsid w:val="00BD29C0"/>
    <w:rsid w:val="00BD4285"/>
    <w:rsid w:val="00BD4777"/>
    <w:rsid w:val="00BD502B"/>
    <w:rsid w:val="00BD6029"/>
    <w:rsid w:val="00BD63E6"/>
    <w:rsid w:val="00BE0695"/>
    <w:rsid w:val="00BE0BF2"/>
    <w:rsid w:val="00BE0D96"/>
    <w:rsid w:val="00BE0EA3"/>
    <w:rsid w:val="00BE17ED"/>
    <w:rsid w:val="00BE299C"/>
    <w:rsid w:val="00BE2C70"/>
    <w:rsid w:val="00BE3094"/>
    <w:rsid w:val="00BE34E3"/>
    <w:rsid w:val="00BE4F37"/>
    <w:rsid w:val="00BE679E"/>
    <w:rsid w:val="00BE69D8"/>
    <w:rsid w:val="00BE6E38"/>
    <w:rsid w:val="00BF096B"/>
    <w:rsid w:val="00BF13FA"/>
    <w:rsid w:val="00BF2D67"/>
    <w:rsid w:val="00BF31F7"/>
    <w:rsid w:val="00BF47F5"/>
    <w:rsid w:val="00BF7ABD"/>
    <w:rsid w:val="00BF7C29"/>
    <w:rsid w:val="00BF7D87"/>
    <w:rsid w:val="00C002C8"/>
    <w:rsid w:val="00C009BB"/>
    <w:rsid w:val="00C0173B"/>
    <w:rsid w:val="00C019F7"/>
    <w:rsid w:val="00C028B7"/>
    <w:rsid w:val="00C039A0"/>
    <w:rsid w:val="00C04586"/>
    <w:rsid w:val="00C046A0"/>
    <w:rsid w:val="00C068BF"/>
    <w:rsid w:val="00C06B7D"/>
    <w:rsid w:val="00C11A2C"/>
    <w:rsid w:val="00C11C4D"/>
    <w:rsid w:val="00C12938"/>
    <w:rsid w:val="00C12CF7"/>
    <w:rsid w:val="00C13F85"/>
    <w:rsid w:val="00C163B9"/>
    <w:rsid w:val="00C17A82"/>
    <w:rsid w:val="00C207A9"/>
    <w:rsid w:val="00C211F5"/>
    <w:rsid w:val="00C21904"/>
    <w:rsid w:val="00C21B56"/>
    <w:rsid w:val="00C224BB"/>
    <w:rsid w:val="00C2539B"/>
    <w:rsid w:val="00C2597B"/>
    <w:rsid w:val="00C26743"/>
    <w:rsid w:val="00C26B63"/>
    <w:rsid w:val="00C26E15"/>
    <w:rsid w:val="00C279B8"/>
    <w:rsid w:val="00C27B2B"/>
    <w:rsid w:val="00C340CC"/>
    <w:rsid w:val="00C36602"/>
    <w:rsid w:val="00C405F3"/>
    <w:rsid w:val="00C4080E"/>
    <w:rsid w:val="00C408B9"/>
    <w:rsid w:val="00C4214D"/>
    <w:rsid w:val="00C44B2F"/>
    <w:rsid w:val="00C4621C"/>
    <w:rsid w:val="00C46A5C"/>
    <w:rsid w:val="00C472AF"/>
    <w:rsid w:val="00C4764C"/>
    <w:rsid w:val="00C514FE"/>
    <w:rsid w:val="00C527B4"/>
    <w:rsid w:val="00C52F74"/>
    <w:rsid w:val="00C540FF"/>
    <w:rsid w:val="00C56377"/>
    <w:rsid w:val="00C5694A"/>
    <w:rsid w:val="00C56B91"/>
    <w:rsid w:val="00C57ED4"/>
    <w:rsid w:val="00C60AFF"/>
    <w:rsid w:val="00C60D6C"/>
    <w:rsid w:val="00C6311A"/>
    <w:rsid w:val="00C6317B"/>
    <w:rsid w:val="00C6421E"/>
    <w:rsid w:val="00C6579F"/>
    <w:rsid w:val="00C65BA3"/>
    <w:rsid w:val="00C66413"/>
    <w:rsid w:val="00C66E4D"/>
    <w:rsid w:val="00C70E64"/>
    <w:rsid w:val="00C73A80"/>
    <w:rsid w:val="00C74A6E"/>
    <w:rsid w:val="00C74A9A"/>
    <w:rsid w:val="00C74B69"/>
    <w:rsid w:val="00C758D8"/>
    <w:rsid w:val="00C76AD3"/>
    <w:rsid w:val="00C77DBA"/>
    <w:rsid w:val="00C80148"/>
    <w:rsid w:val="00C82446"/>
    <w:rsid w:val="00C8299B"/>
    <w:rsid w:val="00C82D7F"/>
    <w:rsid w:val="00C832BD"/>
    <w:rsid w:val="00C84041"/>
    <w:rsid w:val="00C84825"/>
    <w:rsid w:val="00C86A02"/>
    <w:rsid w:val="00C87F96"/>
    <w:rsid w:val="00C908FA"/>
    <w:rsid w:val="00C913ED"/>
    <w:rsid w:val="00C919C2"/>
    <w:rsid w:val="00C929A7"/>
    <w:rsid w:val="00C93232"/>
    <w:rsid w:val="00C948D9"/>
    <w:rsid w:val="00C9741B"/>
    <w:rsid w:val="00C97C6D"/>
    <w:rsid w:val="00CA2290"/>
    <w:rsid w:val="00CA3779"/>
    <w:rsid w:val="00CA3909"/>
    <w:rsid w:val="00CA4939"/>
    <w:rsid w:val="00CA63CF"/>
    <w:rsid w:val="00CA6B3F"/>
    <w:rsid w:val="00CA7588"/>
    <w:rsid w:val="00CB1507"/>
    <w:rsid w:val="00CB1A53"/>
    <w:rsid w:val="00CB2F7E"/>
    <w:rsid w:val="00CB4F91"/>
    <w:rsid w:val="00CB5624"/>
    <w:rsid w:val="00CB59A7"/>
    <w:rsid w:val="00CB60DE"/>
    <w:rsid w:val="00CB7E7E"/>
    <w:rsid w:val="00CC01FA"/>
    <w:rsid w:val="00CC03B5"/>
    <w:rsid w:val="00CC1677"/>
    <w:rsid w:val="00CC3648"/>
    <w:rsid w:val="00CC3959"/>
    <w:rsid w:val="00CC6651"/>
    <w:rsid w:val="00CC7E16"/>
    <w:rsid w:val="00CD0EDB"/>
    <w:rsid w:val="00CD1A23"/>
    <w:rsid w:val="00CD2E8D"/>
    <w:rsid w:val="00CD305F"/>
    <w:rsid w:val="00CD480F"/>
    <w:rsid w:val="00CD6918"/>
    <w:rsid w:val="00CD6EB5"/>
    <w:rsid w:val="00CD77F3"/>
    <w:rsid w:val="00CE1619"/>
    <w:rsid w:val="00CE183D"/>
    <w:rsid w:val="00CE1A1F"/>
    <w:rsid w:val="00CE1D15"/>
    <w:rsid w:val="00CE2904"/>
    <w:rsid w:val="00CE290B"/>
    <w:rsid w:val="00CE3154"/>
    <w:rsid w:val="00CE4A55"/>
    <w:rsid w:val="00CE76D0"/>
    <w:rsid w:val="00CF1419"/>
    <w:rsid w:val="00CF1AAC"/>
    <w:rsid w:val="00CF2CDC"/>
    <w:rsid w:val="00CF2D2A"/>
    <w:rsid w:val="00CF3429"/>
    <w:rsid w:val="00CF4978"/>
    <w:rsid w:val="00CF4A38"/>
    <w:rsid w:val="00CF6228"/>
    <w:rsid w:val="00CF6391"/>
    <w:rsid w:val="00CF72D2"/>
    <w:rsid w:val="00D007FB"/>
    <w:rsid w:val="00D020C3"/>
    <w:rsid w:val="00D024E6"/>
    <w:rsid w:val="00D037CA"/>
    <w:rsid w:val="00D06198"/>
    <w:rsid w:val="00D073F5"/>
    <w:rsid w:val="00D1338A"/>
    <w:rsid w:val="00D157D1"/>
    <w:rsid w:val="00D1622A"/>
    <w:rsid w:val="00D16295"/>
    <w:rsid w:val="00D17B15"/>
    <w:rsid w:val="00D17F4A"/>
    <w:rsid w:val="00D205DB"/>
    <w:rsid w:val="00D21339"/>
    <w:rsid w:val="00D231E7"/>
    <w:rsid w:val="00D2402D"/>
    <w:rsid w:val="00D26592"/>
    <w:rsid w:val="00D267EA"/>
    <w:rsid w:val="00D30C0B"/>
    <w:rsid w:val="00D31686"/>
    <w:rsid w:val="00D3218F"/>
    <w:rsid w:val="00D321EF"/>
    <w:rsid w:val="00D33866"/>
    <w:rsid w:val="00D36380"/>
    <w:rsid w:val="00D37428"/>
    <w:rsid w:val="00D406D2"/>
    <w:rsid w:val="00D416B3"/>
    <w:rsid w:val="00D420CE"/>
    <w:rsid w:val="00D43A16"/>
    <w:rsid w:val="00D453A7"/>
    <w:rsid w:val="00D474F1"/>
    <w:rsid w:val="00D505A7"/>
    <w:rsid w:val="00D53174"/>
    <w:rsid w:val="00D551FD"/>
    <w:rsid w:val="00D57170"/>
    <w:rsid w:val="00D57758"/>
    <w:rsid w:val="00D57B09"/>
    <w:rsid w:val="00D603E1"/>
    <w:rsid w:val="00D608BC"/>
    <w:rsid w:val="00D62DEA"/>
    <w:rsid w:val="00D634A5"/>
    <w:rsid w:val="00D65902"/>
    <w:rsid w:val="00D65F75"/>
    <w:rsid w:val="00D70D44"/>
    <w:rsid w:val="00D710CA"/>
    <w:rsid w:val="00D71652"/>
    <w:rsid w:val="00D71C1B"/>
    <w:rsid w:val="00D71C95"/>
    <w:rsid w:val="00D73257"/>
    <w:rsid w:val="00D73993"/>
    <w:rsid w:val="00D74984"/>
    <w:rsid w:val="00D74A9A"/>
    <w:rsid w:val="00D75B79"/>
    <w:rsid w:val="00D75BD3"/>
    <w:rsid w:val="00D76D0F"/>
    <w:rsid w:val="00D77469"/>
    <w:rsid w:val="00D82B7C"/>
    <w:rsid w:val="00D85998"/>
    <w:rsid w:val="00D8621B"/>
    <w:rsid w:val="00D86677"/>
    <w:rsid w:val="00D8745B"/>
    <w:rsid w:val="00D87DE4"/>
    <w:rsid w:val="00D901F3"/>
    <w:rsid w:val="00D92E24"/>
    <w:rsid w:val="00D9394D"/>
    <w:rsid w:val="00D93F38"/>
    <w:rsid w:val="00D95FB4"/>
    <w:rsid w:val="00D9708C"/>
    <w:rsid w:val="00D9752E"/>
    <w:rsid w:val="00DA18BA"/>
    <w:rsid w:val="00DA1B87"/>
    <w:rsid w:val="00DA3A95"/>
    <w:rsid w:val="00DA4755"/>
    <w:rsid w:val="00DA4EC3"/>
    <w:rsid w:val="00DA6283"/>
    <w:rsid w:val="00DA65A2"/>
    <w:rsid w:val="00DA7BDC"/>
    <w:rsid w:val="00DB0D88"/>
    <w:rsid w:val="00DB2294"/>
    <w:rsid w:val="00DB3BB5"/>
    <w:rsid w:val="00DB3E4C"/>
    <w:rsid w:val="00DB61AF"/>
    <w:rsid w:val="00DB6665"/>
    <w:rsid w:val="00DB6FF7"/>
    <w:rsid w:val="00DB6FFA"/>
    <w:rsid w:val="00DB75CA"/>
    <w:rsid w:val="00DB7E52"/>
    <w:rsid w:val="00DB7ED1"/>
    <w:rsid w:val="00DC0668"/>
    <w:rsid w:val="00DC18E5"/>
    <w:rsid w:val="00DC247A"/>
    <w:rsid w:val="00DC24DF"/>
    <w:rsid w:val="00DC2FDA"/>
    <w:rsid w:val="00DC3C2F"/>
    <w:rsid w:val="00DC483B"/>
    <w:rsid w:val="00DC6C94"/>
    <w:rsid w:val="00DC6D7E"/>
    <w:rsid w:val="00DD09BC"/>
    <w:rsid w:val="00DD1425"/>
    <w:rsid w:val="00DD1C03"/>
    <w:rsid w:val="00DD269D"/>
    <w:rsid w:val="00DD28A5"/>
    <w:rsid w:val="00DD2F24"/>
    <w:rsid w:val="00DD42A1"/>
    <w:rsid w:val="00DD4D54"/>
    <w:rsid w:val="00DD53D6"/>
    <w:rsid w:val="00DD59F3"/>
    <w:rsid w:val="00DD5A38"/>
    <w:rsid w:val="00DD6301"/>
    <w:rsid w:val="00DD79D4"/>
    <w:rsid w:val="00DE045A"/>
    <w:rsid w:val="00DE1D91"/>
    <w:rsid w:val="00DE1FEB"/>
    <w:rsid w:val="00DE30E4"/>
    <w:rsid w:val="00DE499A"/>
    <w:rsid w:val="00DE4FD3"/>
    <w:rsid w:val="00DE52D1"/>
    <w:rsid w:val="00DE6C5C"/>
    <w:rsid w:val="00DF007C"/>
    <w:rsid w:val="00DF34D0"/>
    <w:rsid w:val="00DF3891"/>
    <w:rsid w:val="00DF3E91"/>
    <w:rsid w:val="00DF5490"/>
    <w:rsid w:val="00E01245"/>
    <w:rsid w:val="00E01540"/>
    <w:rsid w:val="00E0269C"/>
    <w:rsid w:val="00E04DEC"/>
    <w:rsid w:val="00E07DAA"/>
    <w:rsid w:val="00E10083"/>
    <w:rsid w:val="00E102A1"/>
    <w:rsid w:val="00E126C1"/>
    <w:rsid w:val="00E135D2"/>
    <w:rsid w:val="00E142B4"/>
    <w:rsid w:val="00E14692"/>
    <w:rsid w:val="00E17E20"/>
    <w:rsid w:val="00E2101B"/>
    <w:rsid w:val="00E2159A"/>
    <w:rsid w:val="00E21E72"/>
    <w:rsid w:val="00E228F0"/>
    <w:rsid w:val="00E23B01"/>
    <w:rsid w:val="00E23DDA"/>
    <w:rsid w:val="00E24C96"/>
    <w:rsid w:val="00E25182"/>
    <w:rsid w:val="00E25D43"/>
    <w:rsid w:val="00E26310"/>
    <w:rsid w:val="00E266A4"/>
    <w:rsid w:val="00E2690A"/>
    <w:rsid w:val="00E27744"/>
    <w:rsid w:val="00E32BC9"/>
    <w:rsid w:val="00E3373E"/>
    <w:rsid w:val="00E3386C"/>
    <w:rsid w:val="00E33DF3"/>
    <w:rsid w:val="00E3448A"/>
    <w:rsid w:val="00E34FE7"/>
    <w:rsid w:val="00E4043D"/>
    <w:rsid w:val="00E41488"/>
    <w:rsid w:val="00E425E6"/>
    <w:rsid w:val="00E42657"/>
    <w:rsid w:val="00E426B4"/>
    <w:rsid w:val="00E44AC4"/>
    <w:rsid w:val="00E47486"/>
    <w:rsid w:val="00E50CBC"/>
    <w:rsid w:val="00E5170A"/>
    <w:rsid w:val="00E51CC4"/>
    <w:rsid w:val="00E5484B"/>
    <w:rsid w:val="00E569E2"/>
    <w:rsid w:val="00E60583"/>
    <w:rsid w:val="00E60A69"/>
    <w:rsid w:val="00E63977"/>
    <w:rsid w:val="00E64715"/>
    <w:rsid w:val="00E653F8"/>
    <w:rsid w:val="00E716E8"/>
    <w:rsid w:val="00E71F9D"/>
    <w:rsid w:val="00E7217F"/>
    <w:rsid w:val="00E736D4"/>
    <w:rsid w:val="00E7478A"/>
    <w:rsid w:val="00E775D0"/>
    <w:rsid w:val="00E81A22"/>
    <w:rsid w:val="00E81B2E"/>
    <w:rsid w:val="00E82984"/>
    <w:rsid w:val="00E82C7F"/>
    <w:rsid w:val="00E84D8B"/>
    <w:rsid w:val="00E85A4A"/>
    <w:rsid w:val="00E85EC6"/>
    <w:rsid w:val="00E904A3"/>
    <w:rsid w:val="00E909E4"/>
    <w:rsid w:val="00E91986"/>
    <w:rsid w:val="00E91DA4"/>
    <w:rsid w:val="00E95371"/>
    <w:rsid w:val="00E95A4C"/>
    <w:rsid w:val="00EA0073"/>
    <w:rsid w:val="00EA0DBF"/>
    <w:rsid w:val="00EA0F2A"/>
    <w:rsid w:val="00EA1647"/>
    <w:rsid w:val="00EA29D4"/>
    <w:rsid w:val="00EA3263"/>
    <w:rsid w:val="00EA76D8"/>
    <w:rsid w:val="00EB0661"/>
    <w:rsid w:val="00EB0988"/>
    <w:rsid w:val="00EB0C8C"/>
    <w:rsid w:val="00EB3D48"/>
    <w:rsid w:val="00EB430D"/>
    <w:rsid w:val="00EB44E1"/>
    <w:rsid w:val="00EB4DE9"/>
    <w:rsid w:val="00EC316D"/>
    <w:rsid w:val="00EC3777"/>
    <w:rsid w:val="00EC39B8"/>
    <w:rsid w:val="00EC3E24"/>
    <w:rsid w:val="00EC4683"/>
    <w:rsid w:val="00EC48AA"/>
    <w:rsid w:val="00EC502C"/>
    <w:rsid w:val="00EC6E55"/>
    <w:rsid w:val="00ED4C62"/>
    <w:rsid w:val="00ED557E"/>
    <w:rsid w:val="00ED66D1"/>
    <w:rsid w:val="00ED71BB"/>
    <w:rsid w:val="00ED7509"/>
    <w:rsid w:val="00EE11FF"/>
    <w:rsid w:val="00EE1FB5"/>
    <w:rsid w:val="00EE2EBA"/>
    <w:rsid w:val="00EE3287"/>
    <w:rsid w:val="00EE3585"/>
    <w:rsid w:val="00EE495C"/>
    <w:rsid w:val="00EE4A2C"/>
    <w:rsid w:val="00EE60EF"/>
    <w:rsid w:val="00EE6F0E"/>
    <w:rsid w:val="00EE72E1"/>
    <w:rsid w:val="00EF07A1"/>
    <w:rsid w:val="00EF146D"/>
    <w:rsid w:val="00EF2D62"/>
    <w:rsid w:val="00EF33B2"/>
    <w:rsid w:val="00EF374E"/>
    <w:rsid w:val="00EF4CCF"/>
    <w:rsid w:val="00EF5370"/>
    <w:rsid w:val="00EF5D3F"/>
    <w:rsid w:val="00EF62CC"/>
    <w:rsid w:val="00F01126"/>
    <w:rsid w:val="00F06E9C"/>
    <w:rsid w:val="00F07A55"/>
    <w:rsid w:val="00F07A9E"/>
    <w:rsid w:val="00F11126"/>
    <w:rsid w:val="00F11ECB"/>
    <w:rsid w:val="00F128FB"/>
    <w:rsid w:val="00F15174"/>
    <w:rsid w:val="00F16A91"/>
    <w:rsid w:val="00F17C7C"/>
    <w:rsid w:val="00F202F9"/>
    <w:rsid w:val="00F215D5"/>
    <w:rsid w:val="00F2585F"/>
    <w:rsid w:val="00F262E2"/>
    <w:rsid w:val="00F2681A"/>
    <w:rsid w:val="00F30DCA"/>
    <w:rsid w:val="00F32E1B"/>
    <w:rsid w:val="00F33C5F"/>
    <w:rsid w:val="00F344C8"/>
    <w:rsid w:val="00F34CAA"/>
    <w:rsid w:val="00F34F2A"/>
    <w:rsid w:val="00F356A1"/>
    <w:rsid w:val="00F3601A"/>
    <w:rsid w:val="00F376C5"/>
    <w:rsid w:val="00F37E51"/>
    <w:rsid w:val="00F412F7"/>
    <w:rsid w:val="00F41ED1"/>
    <w:rsid w:val="00F451CA"/>
    <w:rsid w:val="00F45FE7"/>
    <w:rsid w:val="00F46774"/>
    <w:rsid w:val="00F516BB"/>
    <w:rsid w:val="00F51A82"/>
    <w:rsid w:val="00F525E8"/>
    <w:rsid w:val="00F53B8A"/>
    <w:rsid w:val="00F54437"/>
    <w:rsid w:val="00F549A1"/>
    <w:rsid w:val="00F54E07"/>
    <w:rsid w:val="00F5524A"/>
    <w:rsid w:val="00F55429"/>
    <w:rsid w:val="00F5642F"/>
    <w:rsid w:val="00F564A0"/>
    <w:rsid w:val="00F5724D"/>
    <w:rsid w:val="00F60B6C"/>
    <w:rsid w:val="00F615B1"/>
    <w:rsid w:val="00F62344"/>
    <w:rsid w:val="00F6316E"/>
    <w:rsid w:val="00F632D2"/>
    <w:rsid w:val="00F63B60"/>
    <w:rsid w:val="00F64B5C"/>
    <w:rsid w:val="00F64DEA"/>
    <w:rsid w:val="00F65B86"/>
    <w:rsid w:val="00F67394"/>
    <w:rsid w:val="00F67F47"/>
    <w:rsid w:val="00F72287"/>
    <w:rsid w:val="00F725AF"/>
    <w:rsid w:val="00F733F3"/>
    <w:rsid w:val="00F747D1"/>
    <w:rsid w:val="00F75724"/>
    <w:rsid w:val="00F7609B"/>
    <w:rsid w:val="00F8087B"/>
    <w:rsid w:val="00F8198B"/>
    <w:rsid w:val="00F82A75"/>
    <w:rsid w:val="00F82A9B"/>
    <w:rsid w:val="00F8453F"/>
    <w:rsid w:val="00F85711"/>
    <w:rsid w:val="00F857F0"/>
    <w:rsid w:val="00F85C64"/>
    <w:rsid w:val="00F85F7C"/>
    <w:rsid w:val="00F864A3"/>
    <w:rsid w:val="00F869B5"/>
    <w:rsid w:val="00F908F3"/>
    <w:rsid w:val="00F91489"/>
    <w:rsid w:val="00F94E37"/>
    <w:rsid w:val="00F96F41"/>
    <w:rsid w:val="00FA0B72"/>
    <w:rsid w:val="00FA0E8E"/>
    <w:rsid w:val="00FA11DC"/>
    <w:rsid w:val="00FA36C6"/>
    <w:rsid w:val="00FA417A"/>
    <w:rsid w:val="00FA4E57"/>
    <w:rsid w:val="00FA579C"/>
    <w:rsid w:val="00FA6EA6"/>
    <w:rsid w:val="00FA7395"/>
    <w:rsid w:val="00FB1A75"/>
    <w:rsid w:val="00FB1AA3"/>
    <w:rsid w:val="00FB33D2"/>
    <w:rsid w:val="00FB3A04"/>
    <w:rsid w:val="00FB3AB7"/>
    <w:rsid w:val="00FB3EB4"/>
    <w:rsid w:val="00FB405A"/>
    <w:rsid w:val="00FB4551"/>
    <w:rsid w:val="00FB4F65"/>
    <w:rsid w:val="00FB4F86"/>
    <w:rsid w:val="00FB6FAD"/>
    <w:rsid w:val="00FB7B45"/>
    <w:rsid w:val="00FB7F71"/>
    <w:rsid w:val="00FC5949"/>
    <w:rsid w:val="00FC5DFA"/>
    <w:rsid w:val="00FC6337"/>
    <w:rsid w:val="00FC749A"/>
    <w:rsid w:val="00FC7947"/>
    <w:rsid w:val="00FD0696"/>
    <w:rsid w:val="00FD0BFD"/>
    <w:rsid w:val="00FD26E2"/>
    <w:rsid w:val="00FD4059"/>
    <w:rsid w:val="00FD4E69"/>
    <w:rsid w:val="00FD55D6"/>
    <w:rsid w:val="00FD6319"/>
    <w:rsid w:val="00FD6625"/>
    <w:rsid w:val="00FE255C"/>
    <w:rsid w:val="00FE2FC2"/>
    <w:rsid w:val="00FE461D"/>
    <w:rsid w:val="00FE5C06"/>
    <w:rsid w:val="00FE7354"/>
    <w:rsid w:val="00FF1A1F"/>
    <w:rsid w:val="00FF24AE"/>
    <w:rsid w:val="00FF628D"/>
    <w:rsid w:val="00FF765D"/>
    <w:rsid w:val="0767B820"/>
    <w:rsid w:val="23A1AF4F"/>
    <w:rsid w:val="257AC187"/>
    <w:rsid w:val="5642C4A5"/>
    <w:rsid w:val="5E64D3D8"/>
    <w:rsid w:val="66722E48"/>
    <w:rsid w:val="692C43C2"/>
    <w:rsid w:val="700DF45B"/>
    <w:rsid w:val="7D11BD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F2AD86"/>
  <w15:chartTrackingRefBased/>
  <w15:docId w15:val="{E3D9766C-3A6B-4B68-B881-66F1312E1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24401"/>
    <w:pPr>
      <w:spacing w:line="360" w:lineRule="auto"/>
      <w:outlineLvl w:val="0"/>
    </w:pPr>
    <w:rPr>
      <w:rFonts w:ascii="Arial" w:hAnsi="Arial" w:cs="Arial"/>
      <w:color w:val="A84D98"/>
      <w:sz w:val="28"/>
      <w:szCs w:val="28"/>
      <w:u w:val="single"/>
    </w:rPr>
  </w:style>
  <w:style w:type="paragraph" w:styleId="Heading2">
    <w:name w:val="heading 2"/>
    <w:basedOn w:val="Heading1"/>
    <w:next w:val="Normal"/>
    <w:link w:val="Heading2Char"/>
    <w:uiPriority w:val="9"/>
    <w:unhideWhenUsed/>
    <w:qFormat/>
    <w:rsid w:val="00690F5C"/>
    <w:pPr>
      <w:outlineLvl w:val="1"/>
    </w:pPr>
    <w:rPr>
      <w:b/>
      <w:bCs/>
      <w:sz w:val="24"/>
      <w:szCs w:val="22"/>
      <w:u w:val="none"/>
    </w:rPr>
  </w:style>
  <w:style w:type="paragraph" w:styleId="Heading3">
    <w:name w:val="heading 3"/>
    <w:basedOn w:val="Normal"/>
    <w:link w:val="Heading3Char"/>
    <w:uiPriority w:val="9"/>
    <w:qFormat/>
    <w:rsid w:val="00324401"/>
    <w:pPr>
      <w:numPr>
        <w:ilvl w:val="1"/>
        <w:numId w:val="4"/>
      </w:numPr>
      <w:spacing w:line="360" w:lineRule="auto"/>
      <w:ind w:left="714" w:hanging="357"/>
      <w:outlineLvl w:val="2"/>
    </w:pPr>
    <w:rPr>
      <w:rFonts w:ascii="Arial" w:hAnsi="Arial" w:cs="Arial"/>
      <w:color w:val="A84D98"/>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073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D11BA"/>
    <w:pPr>
      <w:ind w:left="720"/>
      <w:contextualSpacing/>
    </w:pPr>
  </w:style>
  <w:style w:type="paragraph" w:styleId="Header">
    <w:name w:val="header"/>
    <w:basedOn w:val="Normal"/>
    <w:link w:val="HeaderChar"/>
    <w:uiPriority w:val="99"/>
    <w:unhideWhenUsed/>
    <w:rsid w:val="00BF47F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47F5"/>
  </w:style>
  <w:style w:type="paragraph" w:styleId="Footer">
    <w:name w:val="footer"/>
    <w:basedOn w:val="Normal"/>
    <w:link w:val="FooterChar"/>
    <w:uiPriority w:val="99"/>
    <w:unhideWhenUsed/>
    <w:rsid w:val="00BF47F5"/>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47F5"/>
  </w:style>
  <w:style w:type="character" w:customStyle="1" w:styleId="Heading3Char">
    <w:name w:val="Heading 3 Char"/>
    <w:basedOn w:val="DefaultParagraphFont"/>
    <w:link w:val="Heading3"/>
    <w:uiPriority w:val="9"/>
    <w:rsid w:val="00324401"/>
    <w:rPr>
      <w:rFonts w:ascii="Arial" w:hAnsi="Arial" w:cs="Arial"/>
      <w:color w:val="A84D98"/>
      <w:sz w:val="24"/>
      <w:szCs w:val="24"/>
    </w:rPr>
  </w:style>
  <w:style w:type="character" w:styleId="CommentReference">
    <w:name w:val="annotation reference"/>
    <w:basedOn w:val="DefaultParagraphFont"/>
    <w:uiPriority w:val="99"/>
    <w:semiHidden/>
    <w:unhideWhenUsed/>
    <w:rsid w:val="008A14C7"/>
    <w:rPr>
      <w:sz w:val="16"/>
      <w:szCs w:val="16"/>
    </w:rPr>
  </w:style>
  <w:style w:type="paragraph" w:styleId="CommentText">
    <w:name w:val="annotation text"/>
    <w:basedOn w:val="Normal"/>
    <w:link w:val="CommentTextChar"/>
    <w:uiPriority w:val="99"/>
    <w:unhideWhenUsed/>
    <w:rsid w:val="008A14C7"/>
    <w:pPr>
      <w:spacing w:line="240" w:lineRule="auto"/>
    </w:pPr>
    <w:rPr>
      <w:sz w:val="20"/>
      <w:szCs w:val="20"/>
    </w:rPr>
  </w:style>
  <w:style w:type="character" w:customStyle="1" w:styleId="CommentTextChar">
    <w:name w:val="Comment Text Char"/>
    <w:basedOn w:val="DefaultParagraphFont"/>
    <w:link w:val="CommentText"/>
    <w:uiPriority w:val="99"/>
    <w:rsid w:val="008A14C7"/>
    <w:rPr>
      <w:sz w:val="20"/>
      <w:szCs w:val="20"/>
    </w:rPr>
  </w:style>
  <w:style w:type="character" w:styleId="Hyperlink">
    <w:name w:val="Hyperlink"/>
    <w:basedOn w:val="DefaultParagraphFont"/>
    <w:uiPriority w:val="99"/>
    <w:unhideWhenUsed/>
    <w:rsid w:val="008A14C7"/>
    <w:rPr>
      <w:color w:val="0000FF"/>
      <w:u w:val="single"/>
    </w:rPr>
  </w:style>
  <w:style w:type="paragraph" w:styleId="CommentSubject">
    <w:name w:val="annotation subject"/>
    <w:basedOn w:val="CommentText"/>
    <w:next w:val="CommentText"/>
    <w:link w:val="CommentSubjectChar"/>
    <w:uiPriority w:val="99"/>
    <w:semiHidden/>
    <w:unhideWhenUsed/>
    <w:rsid w:val="001C3632"/>
    <w:rPr>
      <w:b/>
      <w:bCs/>
    </w:rPr>
  </w:style>
  <w:style w:type="character" w:customStyle="1" w:styleId="CommentSubjectChar">
    <w:name w:val="Comment Subject Char"/>
    <w:basedOn w:val="CommentTextChar"/>
    <w:link w:val="CommentSubject"/>
    <w:uiPriority w:val="99"/>
    <w:semiHidden/>
    <w:rsid w:val="001C3632"/>
    <w:rPr>
      <w:b/>
      <w:bCs/>
      <w:sz w:val="20"/>
      <w:szCs w:val="20"/>
    </w:rPr>
  </w:style>
  <w:style w:type="character" w:customStyle="1" w:styleId="normaltextrun">
    <w:name w:val="normaltextrun"/>
    <w:basedOn w:val="DefaultParagraphFont"/>
    <w:rsid w:val="00FA7395"/>
  </w:style>
  <w:style w:type="character" w:customStyle="1" w:styleId="eop">
    <w:name w:val="eop"/>
    <w:basedOn w:val="DefaultParagraphFont"/>
    <w:rsid w:val="00FA7395"/>
  </w:style>
  <w:style w:type="paragraph" w:styleId="Revision">
    <w:name w:val="Revision"/>
    <w:hidden/>
    <w:uiPriority w:val="99"/>
    <w:semiHidden/>
    <w:rsid w:val="00FD4059"/>
    <w:pPr>
      <w:spacing w:after="0" w:line="240" w:lineRule="auto"/>
    </w:pPr>
  </w:style>
  <w:style w:type="paragraph" w:styleId="NormalWeb">
    <w:name w:val="Normal (Web)"/>
    <w:basedOn w:val="Normal"/>
    <w:uiPriority w:val="99"/>
    <w:unhideWhenUsed/>
    <w:rsid w:val="00553E9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940A42"/>
    <w:rPr>
      <w:color w:val="605E5C"/>
      <w:shd w:val="clear" w:color="auto" w:fill="E1DFDD"/>
    </w:rPr>
  </w:style>
  <w:style w:type="character" w:styleId="FollowedHyperlink">
    <w:name w:val="FollowedHyperlink"/>
    <w:basedOn w:val="DefaultParagraphFont"/>
    <w:uiPriority w:val="99"/>
    <w:semiHidden/>
    <w:unhideWhenUsed/>
    <w:rsid w:val="00940A42"/>
    <w:rPr>
      <w:color w:val="954F72" w:themeColor="followedHyperlink"/>
      <w:u w:val="single"/>
    </w:rPr>
  </w:style>
  <w:style w:type="paragraph" w:styleId="Title">
    <w:name w:val="Title"/>
    <w:basedOn w:val="Normal"/>
    <w:next w:val="Normal"/>
    <w:link w:val="TitleChar"/>
    <w:uiPriority w:val="10"/>
    <w:qFormat/>
    <w:rsid w:val="00BB6DAA"/>
    <w:pPr>
      <w:spacing w:line="360" w:lineRule="auto"/>
      <w:jc w:val="center"/>
    </w:pPr>
    <w:rPr>
      <w:rFonts w:ascii="Arial" w:hAnsi="Arial" w:cs="Arial"/>
      <w:b/>
      <w:bCs/>
      <w:color w:val="A84D98"/>
      <w:sz w:val="40"/>
      <w:szCs w:val="40"/>
    </w:rPr>
  </w:style>
  <w:style w:type="character" w:customStyle="1" w:styleId="TitleChar">
    <w:name w:val="Title Char"/>
    <w:basedOn w:val="DefaultParagraphFont"/>
    <w:link w:val="Title"/>
    <w:uiPriority w:val="10"/>
    <w:rsid w:val="00BB6DAA"/>
    <w:rPr>
      <w:rFonts w:ascii="Arial" w:hAnsi="Arial" w:cs="Arial"/>
      <w:b/>
      <w:bCs/>
      <w:color w:val="A84D98"/>
      <w:sz w:val="40"/>
      <w:szCs w:val="40"/>
    </w:rPr>
  </w:style>
  <w:style w:type="character" w:customStyle="1" w:styleId="Heading1Char">
    <w:name w:val="Heading 1 Char"/>
    <w:basedOn w:val="DefaultParagraphFont"/>
    <w:link w:val="Heading1"/>
    <w:uiPriority w:val="9"/>
    <w:rsid w:val="00324401"/>
    <w:rPr>
      <w:rFonts w:ascii="Arial" w:hAnsi="Arial" w:cs="Arial"/>
      <w:color w:val="A84D98"/>
      <w:sz w:val="28"/>
      <w:szCs w:val="28"/>
      <w:u w:val="single"/>
    </w:rPr>
  </w:style>
  <w:style w:type="character" w:customStyle="1" w:styleId="Heading2Char">
    <w:name w:val="Heading 2 Char"/>
    <w:basedOn w:val="DefaultParagraphFont"/>
    <w:link w:val="Heading2"/>
    <w:uiPriority w:val="9"/>
    <w:rsid w:val="00690F5C"/>
    <w:rPr>
      <w:rFonts w:ascii="Arial" w:hAnsi="Arial" w:cs="Arial"/>
      <w:b/>
      <w:bCs/>
      <w:color w:val="A84D98"/>
      <w:sz w:val="24"/>
    </w:rPr>
  </w:style>
  <w:style w:type="paragraph" w:customStyle="1" w:styleId="Default">
    <w:name w:val="Default"/>
    <w:rsid w:val="002F0D93"/>
    <w:pPr>
      <w:autoSpaceDE w:val="0"/>
      <w:autoSpaceDN w:val="0"/>
      <w:adjustRightInd w:val="0"/>
      <w:spacing w:after="0" w:line="240" w:lineRule="auto"/>
    </w:pPr>
    <w:rPr>
      <w:rFonts w:ascii="Arial Black" w:hAnsi="Arial Black" w:cs="Arial Black"/>
      <w:color w:val="000000"/>
      <w:sz w:val="24"/>
      <w:szCs w:val="24"/>
    </w:rPr>
  </w:style>
  <w:style w:type="character" w:customStyle="1" w:styleId="cf01">
    <w:name w:val="cf01"/>
    <w:basedOn w:val="DefaultParagraphFont"/>
    <w:rsid w:val="00615E6A"/>
    <w:rPr>
      <w:rFonts w:ascii="Segoe UI" w:hAnsi="Segoe UI" w:cs="Segoe UI" w:hint="default"/>
      <w:sz w:val="18"/>
      <w:szCs w:val="18"/>
    </w:rPr>
  </w:style>
  <w:style w:type="table" w:customStyle="1" w:styleId="1">
    <w:name w:val="1"/>
    <w:basedOn w:val="TableNormal"/>
    <w:rsid w:val="006F2437"/>
    <w:pPr>
      <w:spacing w:after="0" w:line="276" w:lineRule="auto"/>
    </w:pPr>
    <w:rPr>
      <w:rFonts w:ascii="Arial" w:eastAsia="Arial" w:hAnsi="Arial" w:cs="Arial"/>
      <w:lang w:eastAsia="en-GB"/>
    </w:rPr>
    <w:tblPr>
      <w:tblStyleRowBandSize w:val="1"/>
      <w:tblStyleColBandSize w:val="1"/>
      <w:tblInd w:w="0" w:type="nil"/>
      <w:tblCellMar>
        <w:top w:w="100" w:type="dxa"/>
        <w:left w:w="100" w:type="dxa"/>
        <w:bottom w:w="100" w:type="dxa"/>
        <w:right w:w="100" w:type="dxa"/>
      </w:tblCellMar>
    </w:tblPr>
  </w:style>
  <w:style w:type="character" w:styleId="Strong">
    <w:name w:val="Strong"/>
    <w:basedOn w:val="DefaultParagraphFont"/>
    <w:uiPriority w:val="22"/>
    <w:qFormat/>
    <w:rsid w:val="006F2437"/>
    <w:rPr>
      <w:b/>
      <w:bCs/>
    </w:rPr>
  </w:style>
  <w:style w:type="character" w:styleId="Emphasis">
    <w:name w:val="Emphasis"/>
    <w:basedOn w:val="DefaultParagraphFont"/>
    <w:uiPriority w:val="20"/>
    <w:qFormat/>
    <w:rsid w:val="006F243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4499825">
      <w:bodyDiv w:val="1"/>
      <w:marLeft w:val="0"/>
      <w:marRight w:val="0"/>
      <w:marTop w:val="0"/>
      <w:marBottom w:val="0"/>
      <w:divBdr>
        <w:top w:val="none" w:sz="0" w:space="0" w:color="auto"/>
        <w:left w:val="none" w:sz="0" w:space="0" w:color="auto"/>
        <w:bottom w:val="none" w:sz="0" w:space="0" w:color="auto"/>
        <w:right w:val="none" w:sz="0" w:space="0" w:color="auto"/>
      </w:divBdr>
    </w:div>
    <w:div w:id="426385163">
      <w:bodyDiv w:val="1"/>
      <w:marLeft w:val="0"/>
      <w:marRight w:val="0"/>
      <w:marTop w:val="0"/>
      <w:marBottom w:val="0"/>
      <w:divBdr>
        <w:top w:val="none" w:sz="0" w:space="0" w:color="auto"/>
        <w:left w:val="none" w:sz="0" w:space="0" w:color="auto"/>
        <w:bottom w:val="none" w:sz="0" w:space="0" w:color="auto"/>
        <w:right w:val="none" w:sz="0" w:space="0" w:color="auto"/>
      </w:divBdr>
      <w:divsChild>
        <w:div w:id="959146474">
          <w:marLeft w:val="1080"/>
          <w:marRight w:val="0"/>
          <w:marTop w:val="100"/>
          <w:marBottom w:val="160"/>
          <w:divBdr>
            <w:top w:val="none" w:sz="0" w:space="0" w:color="auto"/>
            <w:left w:val="none" w:sz="0" w:space="0" w:color="auto"/>
            <w:bottom w:val="none" w:sz="0" w:space="0" w:color="auto"/>
            <w:right w:val="none" w:sz="0" w:space="0" w:color="auto"/>
          </w:divBdr>
        </w:div>
        <w:div w:id="1148595486">
          <w:marLeft w:val="1080"/>
          <w:marRight w:val="0"/>
          <w:marTop w:val="100"/>
          <w:marBottom w:val="160"/>
          <w:divBdr>
            <w:top w:val="none" w:sz="0" w:space="0" w:color="auto"/>
            <w:left w:val="none" w:sz="0" w:space="0" w:color="auto"/>
            <w:bottom w:val="none" w:sz="0" w:space="0" w:color="auto"/>
            <w:right w:val="none" w:sz="0" w:space="0" w:color="auto"/>
          </w:divBdr>
        </w:div>
        <w:div w:id="385222166">
          <w:marLeft w:val="1080"/>
          <w:marRight w:val="0"/>
          <w:marTop w:val="100"/>
          <w:marBottom w:val="160"/>
          <w:divBdr>
            <w:top w:val="none" w:sz="0" w:space="0" w:color="auto"/>
            <w:left w:val="none" w:sz="0" w:space="0" w:color="auto"/>
            <w:bottom w:val="none" w:sz="0" w:space="0" w:color="auto"/>
            <w:right w:val="none" w:sz="0" w:space="0" w:color="auto"/>
          </w:divBdr>
        </w:div>
        <w:div w:id="1648585232">
          <w:marLeft w:val="1080"/>
          <w:marRight w:val="0"/>
          <w:marTop w:val="100"/>
          <w:marBottom w:val="160"/>
          <w:divBdr>
            <w:top w:val="none" w:sz="0" w:space="0" w:color="auto"/>
            <w:left w:val="none" w:sz="0" w:space="0" w:color="auto"/>
            <w:bottom w:val="none" w:sz="0" w:space="0" w:color="auto"/>
            <w:right w:val="none" w:sz="0" w:space="0" w:color="auto"/>
          </w:divBdr>
        </w:div>
      </w:divsChild>
    </w:div>
    <w:div w:id="726539264">
      <w:bodyDiv w:val="1"/>
      <w:marLeft w:val="0"/>
      <w:marRight w:val="0"/>
      <w:marTop w:val="0"/>
      <w:marBottom w:val="0"/>
      <w:divBdr>
        <w:top w:val="none" w:sz="0" w:space="0" w:color="auto"/>
        <w:left w:val="none" w:sz="0" w:space="0" w:color="auto"/>
        <w:bottom w:val="none" w:sz="0" w:space="0" w:color="auto"/>
        <w:right w:val="none" w:sz="0" w:space="0" w:color="auto"/>
      </w:divBdr>
      <w:divsChild>
        <w:div w:id="1777434330">
          <w:marLeft w:val="360"/>
          <w:marRight w:val="0"/>
          <w:marTop w:val="200"/>
          <w:marBottom w:val="0"/>
          <w:divBdr>
            <w:top w:val="none" w:sz="0" w:space="0" w:color="auto"/>
            <w:left w:val="none" w:sz="0" w:space="0" w:color="auto"/>
            <w:bottom w:val="none" w:sz="0" w:space="0" w:color="auto"/>
            <w:right w:val="none" w:sz="0" w:space="0" w:color="auto"/>
          </w:divBdr>
        </w:div>
      </w:divsChild>
    </w:div>
    <w:div w:id="742026502">
      <w:bodyDiv w:val="1"/>
      <w:marLeft w:val="0"/>
      <w:marRight w:val="0"/>
      <w:marTop w:val="0"/>
      <w:marBottom w:val="0"/>
      <w:divBdr>
        <w:top w:val="none" w:sz="0" w:space="0" w:color="auto"/>
        <w:left w:val="none" w:sz="0" w:space="0" w:color="auto"/>
        <w:bottom w:val="none" w:sz="0" w:space="0" w:color="auto"/>
        <w:right w:val="none" w:sz="0" w:space="0" w:color="auto"/>
      </w:divBdr>
      <w:divsChild>
        <w:div w:id="180360693">
          <w:marLeft w:val="360"/>
          <w:marRight w:val="0"/>
          <w:marTop w:val="200"/>
          <w:marBottom w:val="160"/>
          <w:divBdr>
            <w:top w:val="none" w:sz="0" w:space="0" w:color="auto"/>
            <w:left w:val="none" w:sz="0" w:space="0" w:color="auto"/>
            <w:bottom w:val="none" w:sz="0" w:space="0" w:color="auto"/>
            <w:right w:val="none" w:sz="0" w:space="0" w:color="auto"/>
          </w:divBdr>
        </w:div>
        <w:div w:id="1130172227">
          <w:marLeft w:val="360"/>
          <w:marRight w:val="0"/>
          <w:marTop w:val="200"/>
          <w:marBottom w:val="0"/>
          <w:divBdr>
            <w:top w:val="none" w:sz="0" w:space="0" w:color="auto"/>
            <w:left w:val="none" w:sz="0" w:space="0" w:color="auto"/>
            <w:bottom w:val="none" w:sz="0" w:space="0" w:color="auto"/>
            <w:right w:val="none" w:sz="0" w:space="0" w:color="auto"/>
          </w:divBdr>
        </w:div>
        <w:div w:id="1775053912">
          <w:marLeft w:val="1080"/>
          <w:marRight w:val="0"/>
          <w:marTop w:val="100"/>
          <w:marBottom w:val="0"/>
          <w:divBdr>
            <w:top w:val="none" w:sz="0" w:space="0" w:color="auto"/>
            <w:left w:val="none" w:sz="0" w:space="0" w:color="auto"/>
            <w:bottom w:val="none" w:sz="0" w:space="0" w:color="auto"/>
            <w:right w:val="none" w:sz="0" w:space="0" w:color="auto"/>
          </w:divBdr>
        </w:div>
        <w:div w:id="1079329769">
          <w:marLeft w:val="1080"/>
          <w:marRight w:val="0"/>
          <w:marTop w:val="100"/>
          <w:marBottom w:val="0"/>
          <w:divBdr>
            <w:top w:val="none" w:sz="0" w:space="0" w:color="auto"/>
            <w:left w:val="none" w:sz="0" w:space="0" w:color="auto"/>
            <w:bottom w:val="none" w:sz="0" w:space="0" w:color="auto"/>
            <w:right w:val="none" w:sz="0" w:space="0" w:color="auto"/>
          </w:divBdr>
        </w:div>
        <w:div w:id="894853662">
          <w:marLeft w:val="1080"/>
          <w:marRight w:val="0"/>
          <w:marTop w:val="100"/>
          <w:marBottom w:val="0"/>
          <w:divBdr>
            <w:top w:val="none" w:sz="0" w:space="0" w:color="auto"/>
            <w:left w:val="none" w:sz="0" w:space="0" w:color="auto"/>
            <w:bottom w:val="none" w:sz="0" w:space="0" w:color="auto"/>
            <w:right w:val="none" w:sz="0" w:space="0" w:color="auto"/>
          </w:divBdr>
        </w:div>
      </w:divsChild>
    </w:div>
    <w:div w:id="888684596">
      <w:bodyDiv w:val="1"/>
      <w:marLeft w:val="0"/>
      <w:marRight w:val="0"/>
      <w:marTop w:val="0"/>
      <w:marBottom w:val="0"/>
      <w:divBdr>
        <w:top w:val="none" w:sz="0" w:space="0" w:color="auto"/>
        <w:left w:val="none" w:sz="0" w:space="0" w:color="auto"/>
        <w:bottom w:val="none" w:sz="0" w:space="0" w:color="auto"/>
        <w:right w:val="none" w:sz="0" w:space="0" w:color="auto"/>
      </w:divBdr>
      <w:divsChild>
        <w:div w:id="2103060350">
          <w:marLeft w:val="360"/>
          <w:marRight w:val="0"/>
          <w:marTop w:val="200"/>
          <w:marBottom w:val="160"/>
          <w:divBdr>
            <w:top w:val="none" w:sz="0" w:space="0" w:color="auto"/>
            <w:left w:val="none" w:sz="0" w:space="0" w:color="auto"/>
            <w:bottom w:val="none" w:sz="0" w:space="0" w:color="auto"/>
            <w:right w:val="none" w:sz="0" w:space="0" w:color="auto"/>
          </w:divBdr>
        </w:div>
        <w:div w:id="1680081936">
          <w:marLeft w:val="360"/>
          <w:marRight w:val="0"/>
          <w:marTop w:val="200"/>
          <w:marBottom w:val="160"/>
          <w:divBdr>
            <w:top w:val="none" w:sz="0" w:space="0" w:color="auto"/>
            <w:left w:val="none" w:sz="0" w:space="0" w:color="auto"/>
            <w:bottom w:val="none" w:sz="0" w:space="0" w:color="auto"/>
            <w:right w:val="none" w:sz="0" w:space="0" w:color="auto"/>
          </w:divBdr>
        </w:div>
        <w:div w:id="1957911129">
          <w:marLeft w:val="360"/>
          <w:marRight w:val="0"/>
          <w:marTop w:val="200"/>
          <w:marBottom w:val="160"/>
          <w:divBdr>
            <w:top w:val="none" w:sz="0" w:space="0" w:color="auto"/>
            <w:left w:val="none" w:sz="0" w:space="0" w:color="auto"/>
            <w:bottom w:val="none" w:sz="0" w:space="0" w:color="auto"/>
            <w:right w:val="none" w:sz="0" w:space="0" w:color="auto"/>
          </w:divBdr>
        </w:div>
        <w:div w:id="661398081">
          <w:marLeft w:val="360"/>
          <w:marRight w:val="0"/>
          <w:marTop w:val="200"/>
          <w:marBottom w:val="0"/>
          <w:divBdr>
            <w:top w:val="none" w:sz="0" w:space="0" w:color="auto"/>
            <w:left w:val="none" w:sz="0" w:space="0" w:color="auto"/>
            <w:bottom w:val="none" w:sz="0" w:space="0" w:color="auto"/>
            <w:right w:val="none" w:sz="0" w:space="0" w:color="auto"/>
          </w:divBdr>
        </w:div>
      </w:divsChild>
    </w:div>
    <w:div w:id="951982579">
      <w:bodyDiv w:val="1"/>
      <w:marLeft w:val="0"/>
      <w:marRight w:val="0"/>
      <w:marTop w:val="0"/>
      <w:marBottom w:val="0"/>
      <w:divBdr>
        <w:top w:val="none" w:sz="0" w:space="0" w:color="auto"/>
        <w:left w:val="none" w:sz="0" w:space="0" w:color="auto"/>
        <w:bottom w:val="none" w:sz="0" w:space="0" w:color="auto"/>
        <w:right w:val="none" w:sz="0" w:space="0" w:color="auto"/>
      </w:divBdr>
    </w:div>
    <w:div w:id="1052070855">
      <w:bodyDiv w:val="1"/>
      <w:marLeft w:val="0"/>
      <w:marRight w:val="0"/>
      <w:marTop w:val="0"/>
      <w:marBottom w:val="0"/>
      <w:divBdr>
        <w:top w:val="none" w:sz="0" w:space="0" w:color="auto"/>
        <w:left w:val="none" w:sz="0" w:space="0" w:color="auto"/>
        <w:bottom w:val="none" w:sz="0" w:space="0" w:color="auto"/>
        <w:right w:val="none" w:sz="0" w:space="0" w:color="auto"/>
      </w:divBdr>
      <w:divsChild>
        <w:div w:id="795947573">
          <w:marLeft w:val="360"/>
          <w:marRight w:val="0"/>
          <w:marTop w:val="200"/>
          <w:marBottom w:val="0"/>
          <w:divBdr>
            <w:top w:val="none" w:sz="0" w:space="0" w:color="auto"/>
            <w:left w:val="none" w:sz="0" w:space="0" w:color="auto"/>
            <w:bottom w:val="none" w:sz="0" w:space="0" w:color="auto"/>
            <w:right w:val="none" w:sz="0" w:space="0" w:color="auto"/>
          </w:divBdr>
        </w:div>
      </w:divsChild>
    </w:div>
    <w:div w:id="1171992866">
      <w:bodyDiv w:val="1"/>
      <w:marLeft w:val="0"/>
      <w:marRight w:val="0"/>
      <w:marTop w:val="0"/>
      <w:marBottom w:val="0"/>
      <w:divBdr>
        <w:top w:val="none" w:sz="0" w:space="0" w:color="auto"/>
        <w:left w:val="none" w:sz="0" w:space="0" w:color="auto"/>
        <w:bottom w:val="none" w:sz="0" w:space="0" w:color="auto"/>
        <w:right w:val="none" w:sz="0" w:space="0" w:color="auto"/>
      </w:divBdr>
    </w:div>
    <w:div w:id="1222134051">
      <w:bodyDiv w:val="1"/>
      <w:marLeft w:val="0"/>
      <w:marRight w:val="0"/>
      <w:marTop w:val="0"/>
      <w:marBottom w:val="0"/>
      <w:divBdr>
        <w:top w:val="none" w:sz="0" w:space="0" w:color="auto"/>
        <w:left w:val="none" w:sz="0" w:space="0" w:color="auto"/>
        <w:bottom w:val="none" w:sz="0" w:space="0" w:color="auto"/>
        <w:right w:val="none" w:sz="0" w:space="0" w:color="auto"/>
      </w:divBdr>
    </w:div>
    <w:div w:id="1284264378">
      <w:bodyDiv w:val="1"/>
      <w:marLeft w:val="0"/>
      <w:marRight w:val="0"/>
      <w:marTop w:val="0"/>
      <w:marBottom w:val="0"/>
      <w:divBdr>
        <w:top w:val="none" w:sz="0" w:space="0" w:color="auto"/>
        <w:left w:val="none" w:sz="0" w:space="0" w:color="auto"/>
        <w:bottom w:val="none" w:sz="0" w:space="0" w:color="auto"/>
        <w:right w:val="none" w:sz="0" w:space="0" w:color="auto"/>
      </w:divBdr>
      <w:divsChild>
        <w:div w:id="2097676646">
          <w:marLeft w:val="360"/>
          <w:marRight w:val="0"/>
          <w:marTop w:val="200"/>
          <w:marBottom w:val="160"/>
          <w:divBdr>
            <w:top w:val="none" w:sz="0" w:space="0" w:color="auto"/>
            <w:left w:val="none" w:sz="0" w:space="0" w:color="auto"/>
            <w:bottom w:val="none" w:sz="0" w:space="0" w:color="auto"/>
            <w:right w:val="none" w:sz="0" w:space="0" w:color="auto"/>
          </w:divBdr>
        </w:div>
        <w:div w:id="1269851802">
          <w:marLeft w:val="360"/>
          <w:marRight w:val="0"/>
          <w:marTop w:val="200"/>
          <w:marBottom w:val="160"/>
          <w:divBdr>
            <w:top w:val="none" w:sz="0" w:space="0" w:color="auto"/>
            <w:left w:val="none" w:sz="0" w:space="0" w:color="auto"/>
            <w:bottom w:val="none" w:sz="0" w:space="0" w:color="auto"/>
            <w:right w:val="none" w:sz="0" w:space="0" w:color="auto"/>
          </w:divBdr>
        </w:div>
        <w:div w:id="2127848633">
          <w:marLeft w:val="360"/>
          <w:marRight w:val="0"/>
          <w:marTop w:val="200"/>
          <w:marBottom w:val="160"/>
          <w:divBdr>
            <w:top w:val="none" w:sz="0" w:space="0" w:color="auto"/>
            <w:left w:val="none" w:sz="0" w:space="0" w:color="auto"/>
            <w:bottom w:val="none" w:sz="0" w:space="0" w:color="auto"/>
            <w:right w:val="none" w:sz="0" w:space="0" w:color="auto"/>
          </w:divBdr>
        </w:div>
        <w:div w:id="82378867">
          <w:marLeft w:val="360"/>
          <w:marRight w:val="0"/>
          <w:marTop w:val="200"/>
          <w:marBottom w:val="160"/>
          <w:divBdr>
            <w:top w:val="none" w:sz="0" w:space="0" w:color="auto"/>
            <w:left w:val="none" w:sz="0" w:space="0" w:color="auto"/>
            <w:bottom w:val="none" w:sz="0" w:space="0" w:color="auto"/>
            <w:right w:val="none" w:sz="0" w:space="0" w:color="auto"/>
          </w:divBdr>
        </w:div>
      </w:divsChild>
    </w:div>
    <w:div w:id="1307589653">
      <w:bodyDiv w:val="1"/>
      <w:marLeft w:val="0"/>
      <w:marRight w:val="0"/>
      <w:marTop w:val="0"/>
      <w:marBottom w:val="0"/>
      <w:divBdr>
        <w:top w:val="none" w:sz="0" w:space="0" w:color="auto"/>
        <w:left w:val="none" w:sz="0" w:space="0" w:color="auto"/>
        <w:bottom w:val="none" w:sz="0" w:space="0" w:color="auto"/>
        <w:right w:val="none" w:sz="0" w:space="0" w:color="auto"/>
      </w:divBdr>
      <w:divsChild>
        <w:div w:id="343093836">
          <w:marLeft w:val="360"/>
          <w:marRight w:val="0"/>
          <w:marTop w:val="200"/>
          <w:marBottom w:val="160"/>
          <w:divBdr>
            <w:top w:val="none" w:sz="0" w:space="0" w:color="auto"/>
            <w:left w:val="none" w:sz="0" w:space="0" w:color="auto"/>
            <w:bottom w:val="none" w:sz="0" w:space="0" w:color="auto"/>
            <w:right w:val="none" w:sz="0" w:space="0" w:color="auto"/>
          </w:divBdr>
        </w:div>
        <w:div w:id="428502645">
          <w:marLeft w:val="360"/>
          <w:marRight w:val="0"/>
          <w:marTop w:val="200"/>
          <w:marBottom w:val="160"/>
          <w:divBdr>
            <w:top w:val="none" w:sz="0" w:space="0" w:color="auto"/>
            <w:left w:val="none" w:sz="0" w:space="0" w:color="auto"/>
            <w:bottom w:val="none" w:sz="0" w:space="0" w:color="auto"/>
            <w:right w:val="none" w:sz="0" w:space="0" w:color="auto"/>
          </w:divBdr>
        </w:div>
        <w:div w:id="1550847076">
          <w:marLeft w:val="360"/>
          <w:marRight w:val="0"/>
          <w:marTop w:val="200"/>
          <w:marBottom w:val="160"/>
          <w:divBdr>
            <w:top w:val="none" w:sz="0" w:space="0" w:color="auto"/>
            <w:left w:val="none" w:sz="0" w:space="0" w:color="auto"/>
            <w:bottom w:val="none" w:sz="0" w:space="0" w:color="auto"/>
            <w:right w:val="none" w:sz="0" w:space="0" w:color="auto"/>
          </w:divBdr>
        </w:div>
        <w:div w:id="31195532">
          <w:marLeft w:val="360"/>
          <w:marRight w:val="0"/>
          <w:marTop w:val="200"/>
          <w:marBottom w:val="160"/>
          <w:divBdr>
            <w:top w:val="none" w:sz="0" w:space="0" w:color="auto"/>
            <w:left w:val="none" w:sz="0" w:space="0" w:color="auto"/>
            <w:bottom w:val="none" w:sz="0" w:space="0" w:color="auto"/>
            <w:right w:val="none" w:sz="0" w:space="0" w:color="auto"/>
          </w:divBdr>
        </w:div>
      </w:divsChild>
    </w:div>
    <w:div w:id="1426994402">
      <w:bodyDiv w:val="1"/>
      <w:marLeft w:val="0"/>
      <w:marRight w:val="0"/>
      <w:marTop w:val="0"/>
      <w:marBottom w:val="0"/>
      <w:divBdr>
        <w:top w:val="none" w:sz="0" w:space="0" w:color="auto"/>
        <w:left w:val="none" w:sz="0" w:space="0" w:color="auto"/>
        <w:bottom w:val="none" w:sz="0" w:space="0" w:color="auto"/>
        <w:right w:val="none" w:sz="0" w:space="0" w:color="auto"/>
      </w:divBdr>
      <w:divsChild>
        <w:div w:id="861019650">
          <w:marLeft w:val="360"/>
          <w:marRight w:val="0"/>
          <w:marTop w:val="200"/>
          <w:marBottom w:val="0"/>
          <w:divBdr>
            <w:top w:val="none" w:sz="0" w:space="0" w:color="auto"/>
            <w:left w:val="none" w:sz="0" w:space="0" w:color="auto"/>
            <w:bottom w:val="none" w:sz="0" w:space="0" w:color="auto"/>
            <w:right w:val="none" w:sz="0" w:space="0" w:color="auto"/>
          </w:divBdr>
        </w:div>
      </w:divsChild>
    </w:div>
    <w:div w:id="1703237908">
      <w:bodyDiv w:val="1"/>
      <w:marLeft w:val="0"/>
      <w:marRight w:val="0"/>
      <w:marTop w:val="0"/>
      <w:marBottom w:val="0"/>
      <w:divBdr>
        <w:top w:val="none" w:sz="0" w:space="0" w:color="auto"/>
        <w:left w:val="none" w:sz="0" w:space="0" w:color="auto"/>
        <w:bottom w:val="none" w:sz="0" w:space="0" w:color="auto"/>
        <w:right w:val="none" w:sz="0" w:space="0" w:color="auto"/>
      </w:divBdr>
    </w:div>
    <w:div w:id="1740664153">
      <w:bodyDiv w:val="1"/>
      <w:marLeft w:val="0"/>
      <w:marRight w:val="0"/>
      <w:marTop w:val="0"/>
      <w:marBottom w:val="0"/>
      <w:divBdr>
        <w:top w:val="none" w:sz="0" w:space="0" w:color="auto"/>
        <w:left w:val="none" w:sz="0" w:space="0" w:color="auto"/>
        <w:bottom w:val="none" w:sz="0" w:space="0" w:color="auto"/>
        <w:right w:val="none" w:sz="0" w:space="0" w:color="auto"/>
      </w:divBdr>
    </w:div>
    <w:div w:id="1814323897">
      <w:bodyDiv w:val="1"/>
      <w:marLeft w:val="0"/>
      <w:marRight w:val="0"/>
      <w:marTop w:val="0"/>
      <w:marBottom w:val="0"/>
      <w:divBdr>
        <w:top w:val="none" w:sz="0" w:space="0" w:color="auto"/>
        <w:left w:val="none" w:sz="0" w:space="0" w:color="auto"/>
        <w:bottom w:val="none" w:sz="0" w:space="0" w:color="auto"/>
        <w:right w:val="none" w:sz="0" w:space="0" w:color="auto"/>
      </w:divBdr>
      <w:divsChild>
        <w:div w:id="1372808208">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mpact.bham.ac.uk/" TargetMode="External"/><Relationship Id="rId18" Type="http://schemas.openxmlformats.org/officeDocument/2006/relationships/hyperlink" Target="https://www.coventry.gov.uk/downloads/file/43362/throughcare-local-offer-booklet" TargetMode="External"/><Relationship Id="rId26" Type="http://schemas.openxmlformats.org/officeDocument/2006/relationships/hyperlink" Target="https://thehouseproject.org/resources/NHPPsychologicalFramework.pdf" TargetMode="External"/><Relationship Id="rId3" Type="http://schemas.openxmlformats.org/officeDocument/2006/relationships/customXml" Target="../customXml/item3.xml"/><Relationship Id="rId21" Type="http://schemas.openxmlformats.org/officeDocument/2006/relationships/hyperlink" Target="https://thehouseproject.org/orchids"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thepromise.scot/supporting-you/design-school/2454/06.-knowledge-board/instructions-for-the-knowledge-board-(colour).pdf" TargetMode="External"/><Relationship Id="rId25" Type="http://schemas.openxmlformats.org/officeDocument/2006/relationships/hyperlink" Target="https://thehouseproject.org" TargetMode="External"/><Relationship Id="rId2" Type="http://schemas.openxmlformats.org/officeDocument/2006/relationships/customXml" Target="../customXml/item2.xml"/><Relationship Id="rId16" Type="http://schemas.openxmlformats.org/officeDocument/2006/relationships/image" Target="media/image3.jpeg"/><Relationship Id="rId20" Type="http://schemas.openxmlformats.org/officeDocument/2006/relationships/hyperlink" Target="https://thehouseproject.org/Media/Framework%20documents/NHPPsychologicalFramework.pdf"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impact.bham.ac.uk/wp-content/uploads/2024/12/Transitions-to-adulthood-for-care-leavers.docx" TargetMode="External"/><Relationship Id="rId5" Type="http://schemas.openxmlformats.org/officeDocument/2006/relationships/numbering" Target="numbering.xml"/><Relationship Id="rId15" Type="http://schemas.openxmlformats.org/officeDocument/2006/relationships/hyperlink" Target="https://www.aliss.org/" TargetMode="External"/><Relationship Id="rId23" Type="http://schemas.openxmlformats.org/officeDocument/2006/relationships/hyperlink" Target="https://mhcc.org.au/wp-content/uploads/2023/04/Trauma-Informed-Events-Checklist.pdf" TargetMode="External"/><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nihr.ac.uk/payment-guidance-researchers-and-professionals"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impact.bham.ac.uk/delivery-models/demonstrators/" TargetMode="External"/><Relationship Id="rId22" Type="http://schemas.openxmlformats.org/officeDocument/2006/relationships/hyperlink" Target="https://mhcc.org.au/" TargetMode="External"/><Relationship Id="rId27" Type="http://schemas.openxmlformats.org/officeDocument/2006/relationships/hyperlink" Target="https://www.researchgate.net/publication/237126419_Co_production_An_Emerging_Evidence_Base_for_Adult_Social_Care_Transformation" TargetMode="Externa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232B5D162DEB743A6DCB42E4D80BDAB" ma:contentTypeVersion="19" ma:contentTypeDescription="Create a new document." ma:contentTypeScope="" ma:versionID="3209b467d0767362b7db7f7282e18c7b">
  <xsd:schema xmlns:xsd="http://www.w3.org/2001/XMLSchema" xmlns:xs="http://www.w3.org/2001/XMLSchema" xmlns:p="http://schemas.microsoft.com/office/2006/metadata/properties" xmlns:ns2="932e182d-f828-49d8-b225-823d95a6369c" xmlns:ns3="a246c91f-ae64-48a8-a946-abb5de09178e" targetNamespace="http://schemas.microsoft.com/office/2006/metadata/properties" ma:root="true" ma:fieldsID="a5f46be49ccbb4dae5b89e2776f50992" ns2:_="" ns3:_="">
    <xsd:import namespace="932e182d-f828-49d8-b225-823d95a6369c"/>
    <xsd:import namespace="a246c91f-ae64-48a8-a946-abb5de09178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2e182d-f828-49d8-b225-823d95a636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c7af76c-f141-45ca-ae1a-4959eb0cbd4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46c91f-ae64-48a8-a946-abb5de09178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73cbaec-dac5-40a4-91c0-7120ec1e53a7}" ma:internalName="TaxCatchAll" ma:showField="CatchAllData" ma:web="a246c91f-ae64-48a8-a946-abb5de09178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32e182d-f828-49d8-b225-823d95a6369c">
      <Terms xmlns="http://schemas.microsoft.com/office/infopath/2007/PartnerControls"/>
    </lcf76f155ced4ddcb4097134ff3c332f>
    <SharedWithUsers xmlns="a246c91f-ae64-48a8-a946-abb5de09178e">
      <UserInfo>
        <DisplayName>Benjamin Cuffin-Munday (Social Work and Social Care)</DisplayName>
        <AccountId>145</AccountId>
        <AccountType/>
      </UserInfo>
    </SharedWithUsers>
    <MediaLengthInSeconds xmlns="932e182d-f828-49d8-b225-823d95a6369c" xsi:nil="true"/>
    <TaxCatchAll xmlns="a246c91f-ae64-48a8-a946-abb5de09178e"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EFFB62C-6217-4CB5-B2F4-2EA5D76123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2e182d-f828-49d8-b225-823d95a6369c"/>
    <ds:schemaRef ds:uri="a246c91f-ae64-48a8-a946-abb5de0917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7E4C29A-2256-4D09-AE95-DCDA35468B76}">
  <ds:schemaRefs>
    <ds:schemaRef ds:uri="http://schemas.microsoft.com/office/2006/metadata/properties"/>
    <ds:schemaRef ds:uri="http://schemas.microsoft.com/office/infopath/2007/PartnerControls"/>
    <ds:schemaRef ds:uri="932e182d-f828-49d8-b225-823d95a6369c"/>
    <ds:schemaRef ds:uri="a246c91f-ae64-48a8-a946-abb5de09178e"/>
  </ds:schemaRefs>
</ds:datastoreItem>
</file>

<file path=customXml/itemProps3.xml><?xml version="1.0" encoding="utf-8"?>
<ds:datastoreItem xmlns:ds="http://schemas.openxmlformats.org/officeDocument/2006/customXml" ds:itemID="{7E1B4B5C-3061-40B0-B896-4598958B5F6A}">
  <ds:schemaRefs>
    <ds:schemaRef ds:uri="http://schemas.openxmlformats.org/officeDocument/2006/bibliography"/>
  </ds:schemaRefs>
</ds:datastoreItem>
</file>

<file path=customXml/itemProps4.xml><?xml version="1.0" encoding="utf-8"?>
<ds:datastoreItem xmlns:ds="http://schemas.openxmlformats.org/officeDocument/2006/customXml" ds:itemID="{CD97CB64-2C92-4F27-B394-359644F108E0}">
  <ds:schemaRefs>
    <ds:schemaRef ds:uri="http://schemas.microsoft.com/sharepoint/v3/contenttype/forms"/>
  </ds:schemaRefs>
</ds:datastoreItem>
</file>

<file path=docMetadata/LabelInfo.xml><?xml version="1.0" encoding="utf-8"?>
<clbl:labelList xmlns:clbl="http://schemas.microsoft.com/office/2020/mipLabelMetadata">
  <clbl:label id="{4e8d09f7-cc79-4ccb-9149-a4238dd17422}" enabled="0" method="" siteId="{4e8d09f7-cc79-4ccb-9149-a4238dd17422}" removed="1"/>
  <clbl:label id="{b024cacf-dede-4241-a15c-3c97d553e9f3}" enabled="0" method="" siteId="{b024cacf-dede-4241-a15c-3c97d553e9f3}" removed="1"/>
</clbl:labelList>
</file>

<file path=docProps/app.xml><?xml version="1.0" encoding="utf-8"?>
<Properties xmlns="http://schemas.openxmlformats.org/officeDocument/2006/extended-properties" xmlns:vt="http://schemas.openxmlformats.org/officeDocument/2006/docPropsVTypes">
  <Template>Normal</Template>
  <TotalTime>10</TotalTime>
  <Pages>9</Pages>
  <Words>3233</Words>
  <Characters>18270</Characters>
  <Application>Microsoft Office Word</Application>
  <DocSecurity>0</DocSecurity>
  <Lines>630</Lines>
  <Paragraphs>182</Paragraphs>
  <ScaleCrop>false</ScaleCrop>
  <Company/>
  <LinksUpToDate>false</LinksUpToDate>
  <CharactersWithSpaces>21321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Watchman</dc:creator>
  <cp:keywords/>
  <dc:description/>
  <cp:lastModifiedBy>Elizabeth Kennedy (Social Work and Social Care)</cp:lastModifiedBy>
  <cp:revision>3</cp:revision>
  <dcterms:created xsi:type="dcterms:W3CDTF">2025-11-19T15:20:00Z</dcterms:created>
  <dcterms:modified xsi:type="dcterms:W3CDTF">2025-11-19T15:32:00Z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0x010100A232B5D162DEB743A6DCB42E4D80BDAB</vt:lpwstr>
  </property>
  <property fmtid="{D5CDD505-2E9C-101B-9397-08002B2CF9AE}" pid="3" name="MediaServiceImageTags">
    <vt:lpwstr/>
  </property>
  <property fmtid="{D5CDD505-2E9C-101B-9397-08002B2CF9AE}" pid="4" name="Order">
    <vt:r8>101600</vt:r8>
  </property>
  <property fmtid="{D5CDD505-2E9C-101B-9397-08002B2CF9AE}" pid="5" name="TriggerFlowInfo">
    <vt:lpwstr/>
  </property>
  <property fmtid="{D5CDD505-2E9C-101B-9397-08002B2CF9AE}" pid="6" name="ComplianceAssetId">
    <vt:lpwstr/>
  </property>
  <property fmtid="{D5CDD505-2E9C-101B-9397-08002B2CF9AE}" pid="7" name="_ExtendedDescription">
    <vt:lpwstr/>
  </property>
</Properties>
</file>