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77BF" w14:textId="77777777" w:rsidR="00400411" w:rsidRPr="00B0687F" w:rsidRDefault="00400411" w:rsidP="00B0687F">
      <w:pPr>
        <w:pStyle w:val="Heading1"/>
        <w:rPr>
          <w:lang w:eastAsia="en-GB"/>
        </w:rPr>
      </w:pPr>
    </w:p>
    <w:p w14:paraId="3BA31609" w14:textId="25E21A8A" w:rsidR="000737BB" w:rsidRPr="00B0687F" w:rsidRDefault="00CE212D" w:rsidP="00526141">
      <w:pPr>
        <w:pStyle w:val="Title"/>
      </w:pPr>
      <w:r w:rsidRPr="00B0687F">
        <w:t>IMPACT Evidence Review: Choice and Control</w:t>
      </w:r>
    </w:p>
    <w:p w14:paraId="38D901D1" w14:textId="53446B8C" w:rsidR="0054690D" w:rsidRPr="00B0687F" w:rsidRDefault="00CE212D" w:rsidP="00526141">
      <w:pPr>
        <w:jc w:val="center"/>
        <w:rPr>
          <w:rFonts w:ascii="Arial" w:hAnsi="Arial" w:cs="Arial"/>
          <w:sz w:val="24"/>
          <w:szCs w:val="24"/>
        </w:rPr>
      </w:pPr>
      <w:r w:rsidRPr="00B0687F">
        <w:rPr>
          <w:rFonts w:ascii="Arial" w:hAnsi="Arial" w:cs="Arial"/>
          <w:sz w:val="24"/>
          <w:szCs w:val="24"/>
        </w:rPr>
        <w:t>Prepared by Kate Hamblin (UK Networks Lead), March 2022</w:t>
      </w:r>
    </w:p>
    <w:p w14:paraId="2C9D6D4C" w14:textId="77777777" w:rsidR="000737BB" w:rsidRPr="00B0687F" w:rsidRDefault="000737BB" w:rsidP="00B0687F">
      <w:pPr>
        <w:pStyle w:val="Heading2"/>
        <w:rPr>
          <w:lang w:eastAsia="en-GB"/>
        </w:rPr>
      </w:pPr>
      <w:bookmarkStart w:id="0" w:name="_Toc95480684"/>
    </w:p>
    <w:p w14:paraId="183E2E56" w14:textId="71D79C82" w:rsidR="00426DE3" w:rsidRPr="00B0687F" w:rsidRDefault="00426DE3" w:rsidP="00B0687F">
      <w:pPr>
        <w:pStyle w:val="Heading1"/>
      </w:pPr>
      <w:r w:rsidRPr="00B0687F">
        <w:t>What is the issue?</w:t>
      </w:r>
      <w:bookmarkEnd w:id="0"/>
    </w:p>
    <w:p w14:paraId="420706C3" w14:textId="7312AFBF" w:rsidR="007C50C9" w:rsidRPr="00B0687F" w:rsidRDefault="007C50C9" w:rsidP="007C50C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0687F">
        <w:rPr>
          <w:rFonts w:ascii="Arial" w:hAnsi="Arial" w:cs="Arial"/>
          <w:i/>
          <w:iCs/>
          <w:sz w:val="24"/>
          <w:szCs w:val="24"/>
        </w:rPr>
        <w:t>“…choice is fundamental to achieving citizenship, social inclusion and human rights”</w:t>
      </w:r>
      <w:r w:rsidRPr="00B0687F">
        <w:rPr>
          <w:rStyle w:val="EndnoteReference"/>
          <w:rFonts w:ascii="Arial" w:hAnsi="Arial" w:cs="Arial"/>
          <w:i/>
          <w:iCs/>
          <w:sz w:val="24"/>
          <w:szCs w:val="24"/>
        </w:rPr>
        <w:endnoteReference w:id="1"/>
      </w:r>
    </w:p>
    <w:p w14:paraId="09A221ED" w14:textId="77777777" w:rsidR="007C50C9" w:rsidRPr="00B0687F" w:rsidRDefault="007C50C9" w:rsidP="007C50C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ADEF91" w14:textId="77777777" w:rsidR="0070086A" w:rsidRPr="00B0687F" w:rsidRDefault="007C50C9" w:rsidP="00477F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All four nations of the UK are trying to </w:t>
      </w:r>
      <w:r w:rsidR="00DD2A7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make sure</w:t>
      </w:r>
      <w:r w:rsidR="004108FE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that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people who draw on </w:t>
      </w:r>
      <w:r w:rsidR="004108FE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adult social 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care can have </w:t>
      </w:r>
      <w:r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greater choice and control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over the support they receive.</w:t>
      </w:r>
      <w:r w:rsidRPr="00B0687F">
        <w:rPr>
          <w:rFonts w:ascii="Arial" w:hAnsi="Arial" w:cs="Arial"/>
          <w:sz w:val="24"/>
          <w:szCs w:val="24"/>
        </w:rPr>
        <w:t xml:space="preserve"> </w:t>
      </w:r>
    </w:p>
    <w:p w14:paraId="42A2CE68" w14:textId="5DF30259" w:rsidR="007C50C9" w:rsidRPr="00B0687F" w:rsidRDefault="00DD2A70" w:rsidP="00477F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687F">
        <w:rPr>
          <w:rFonts w:ascii="Arial" w:hAnsi="Arial" w:cs="Arial"/>
          <w:sz w:val="24"/>
          <w:szCs w:val="24"/>
        </w:rPr>
        <w:t>E</w:t>
      </w:r>
      <w:r w:rsidR="0054690D" w:rsidRPr="00B0687F">
        <w:rPr>
          <w:rFonts w:ascii="Arial" w:hAnsi="Arial" w:cs="Arial"/>
          <w:sz w:val="24"/>
          <w:szCs w:val="24"/>
        </w:rPr>
        <w:t>vidence suggests</w:t>
      </w:r>
      <w:r w:rsidR="007C50C9" w:rsidRPr="00B0687F">
        <w:rPr>
          <w:rFonts w:ascii="Arial" w:hAnsi="Arial" w:cs="Arial"/>
          <w:sz w:val="24"/>
          <w:szCs w:val="24"/>
        </w:rPr>
        <w:t xml:space="preserve"> </w:t>
      </w:r>
      <w:r w:rsidR="0054690D" w:rsidRPr="00B0687F">
        <w:rPr>
          <w:rFonts w:ascii="Arial" w:hAnsi="Arial" w:cs="Arial"/>
          <w:sz w:val="24"/>
          <w:szCs w:val="24"/>
        </w:rPr>
        <w:t>that</w:t>
      </w:r>
      <w:r w:rsidR="007C50C9" w:rsidRPr="00B0687F">
        <w:rPr>
          <w:rFonts w:ascii="Arial" w:hAnsi="Arial" w:cs="Arial"/>
          <w:sz w:val="24"/>
          <w:szCs w:val="24"/>
        </w:rPr>
        <w:t xml:space="preserve"> </w:t>
      </w:r>
      <w:r w:rsidR="00066CC2" w:rsidRPr="00B0687F">
        <w:rPr>
          <w:rFonts w:ascii="Arial" w:hAnsi="Arial" w:cs="Arial"/>
          <w:sz w:val="24"/>
          <w:szCs w:val="24"/>
        </w:rPr>
        <w:t xml:space="preserve">providing </w:t>
      </w:r>
      <w:r w:rsidR="007C50C9" w:rsidRPr="00B0687F">
        <w:rPr>
          <w:rFonts w:ascii="Arial" w:hAnsi="Arial" w:cs="Arial"/>
          <w:sz w:val="24"/>
          <w:szCs w:val="24"/>
        </w:rPr>
        <w:t xml:space="preserve">choice and control </w:t>
      </w:r>
      <w:r w:rsidR="00066CC2" w:rsidRPr="00B0687F">
        <w:rPr>
          <w:rFonts w:ascii="Arial" w:hAnsi="Arial" w:cs="Arial"/>
          <w:sz w:val="24"/>
          <w:szCs w:val="24"/>
        </w:rPr>
        <w:t xml:space="preserve">promotes </w:t>
      </w:r>
      <w:r w:rsidR="00066CC2" w:rsidRPr="00B0687F">
        <w:rPr>
          <w:rFonts w:ascii="Arial" w:hAnsi="Arial" w:cs="Arial"/>
          <w:b/>
          <w:bCs/>
          <w:sz w:val="24"/>
          <w:szCs w:val="24"/>
        </w:rPr>
        <w:t>independence</w:t>
      </w:r>
      <w:r w:rsidR="00066CC2" w:rsidRPr="00B0687F">
        <w:rPr>
          <w:rFonts w:ascii="Arial" w:hAnsi="Arial" w:cs="Arial"/>
          <w:sz w:val="24"/>
          <w:szCs w:val="24"/>
        </w:rPr>
        <w:t xml:space="preserve">, </w:t>
      </w:r>
      <w:r w:rsidR="00066CC2" w:rsidRPr="00B0687F">
        <w:rPr>
          <w:rFonts w:ascii="Arial" w:hAnsi="Arial" w:cs="Arial"/>
          <w:b/>
          <w:bCs/>
          <w:sz w:val="24"/>
          <w:szCs w:val="24"/>
        </w:rPr>
        <w:t>wellbeing</w:t>
      </w:r>
      <w:r w:rsidR="00066CC2" w:rsidRPr="00B0687F">
        <w:rPr>
          <w:rFonts w:ascii="Arial" w:hAnsi="Arial" w:cs="Arial"/>
          <w:sz w:val="24"/>
          <w:szCs w:val="24"/>
        </w:rPr>
        <w:t xml:space="preserve"> and </w:t>
      </w:r>
      <w:r w:rsidR="004108FE" w:rsidRPr="00B0687F">
        <w:rPr>
          <w:rFonts w:ascii="Arial" w:hAnsi="Arial" w:cs="Arial"/>
          <w:sz w:val="24"/>
          <w:szCs w:val="24"/>
        </w:rPr>
        <w:t>a sense</w:t>
      </w:r>
      <w:r w:rsidR="00066CC2" w:rsidRPr="00B0687F">
        <w:rPr>
          <w:rFonts w:ascii="Arial" w:hAnsi="Arial" w:cs="Arial"/>
          <w:sz w:val="24"/>
          <w:szCs w:val="24"/>
        </w:rPr>
        <w:t xml:space="preserve"> of </w:t>
      </w:r>
      <w:r w:rsidR="00066CC2" w:rsidRPr="00B0687F">
        <w:rPr>
          <w:rFonts w:ascii="Arial" w:hAnsi="Arial" w:cs="Arial"/>
          <w:b/>
          <w:bCs/>
          <w:sz w:val="24"/>
          <w:szCs w:val="24"/>
        </w:rPr>
        <w:t>empowerment</w:t>
      </w:r>
      <w:r w:rsidR="00066CC2" w:rsidRPr="00B0687F">
        <w:rPr>
          <w:rFonts w:ascii="Arial" w:hAnsi="Arial" w:cs="Arial"/>
          <w:sz w:val="24"/>
          <w:szCs w:val="24"/>
        </w:rPr>
        <w:t xml:space="preserve"> as well as </w:t>
      </w:r>
      <w:r w:rsidR="007C50C9" w:rsidRPr="00B0687F">
        <w:rPr>
          <w:rFonts w:ascii="Arial" w:hAnsi="Arial" w:cs="Arial"/>
          <w:sz w:val="24"/>
          <w:szCs w:val="24"/>
        </w:rPr>
        <w:t>enabl</w:t>
      </w:r>
      <w:r w:rsidR="00066CC2" w:rsidRPr="00B0687F">
        <w:rPr>
          <w:rFonts w:ascii="Arial" w:hAnsi="Arial" w:cs="Arial"/>
          <w:sz w:val="24"/>
          <w:szCs w:val="24"/>
        </w:rPr>
        <w:t>ing</w:t>
      </w:r>
      <w:r w:rsidR="007C50C9" w:rsidRPr="00B0687F">
        <w:rPr>
          <w:rFonts w:ascii="Arial" w:hAnsi="Arial" w:cs="Arial"/>
          <w:sz w:val="24"/>
          <w:szCs w:val="24"/>
        </w:rPr>
        <w:t xml:space="preserve"> people to </w:t>
      </w:r>
      <w:r w:rsidR="007C50C9" w:rsidRPr="00B0687F">
        <w:rPr>
          <w:rFonts w:ascii="Arial" w:hAnsi="Arial" w:cs="Arial"/>
          <w:b/>
          <w:bCs/>
          <w:sz w:val="24"/>
          <w:szCs w:val="24"/>
        </w:rPr>
        <w:t xml:space="preserve">creatively </w:t>
      </w:r>
      <w:r w:rsidR="00066CC2" w:rsidRPr="00B0687F">
        <w:rPr>
          <w:rFonts w:ascii="Arial" w:hAnsi="Arial" w:cs="Arial"/>
          <w:b/>
          <w:bCs/>
          <w:sz w:val="24"/>
          <w:szCs w:val="24"/>
        </w:rPr>
        <w:t>personalise</w:t>
      </w:r>
      <w:r w:rsidR="007C50C9" w:rsidRPr="00B0687F">
        <w:rPr>
          <w:rFonts w:ascii="Arial" w:hAnsi="Arial" w:cs="Arial"/>
          <w:b/>
          <w:bCs/>
          <w:sz w:val="24"/>
          <w:szCs w:val="24"/>
        </w:rPr>
        <w:t xml:space="preserve"> </w:t>
      </w:r>
      <w:r w:rsidR="00436A9A" w:rsidRPr="00B0687F">
        <w:rPr>
          <w:rFonts w:ascii="Arial" w:hAnsi="Arial" w:cs="Arial"/>
          <w:b/>
          <w:bCs/>
          <w:sz w:val="24"/>
          <w:szCs w:val="24"/>
        </w:rPr>
        <w:t>care</w:t>
      </w:r>
      <w:r w:rsidR="00436A9A" w:rsidRPr="00B0687F">
        <w:rPr>
          <w:rFonts w:ascii="Arial" w:hAnsi="Arial" w:cs="Arial"/>
          <w:sz w:val="24"/>
          <w:szCs w:val="24"/>
        </w:rPr>
        <w:t xml:space="preserve"> and support</w:t>
      </w:r>
      <w:r w:rsidR="007C50C9" w:rsidRPr="00B0687F">
        <w:rPr>
          <w:rFonts w:ascii="Arial" w:hAnsi="Arial" w:cs="Arial"/>
          <w:sz w:val="24"/>
          <w:szCs w:val="24"/>
        </w:rPr>
        <w:t xml:space="preserve"> to their own needs </w:t>
      </w:r>
      <w:r w:rsidR="00436A9A" w:rsidRPr="00B0687F">
        <w:rPr>
          <w:rFonts w:ascii="Arial" w:hAnsi="Arial" w:cs="Arial"/>
          <w:sz w:val="24"/>
          <w:szCs w:val="24"/>
        </w:rPr>
        <w:t xml:space="preserve">and preferences </w:t>
      </w:r>
      <w:r w:rsidR="00066CC2" w:rsidRPr="00B0687F">
        <w:rPr>
          <w:rFonts w:ascii="Arial" w:hAnsi="Arial" w:cs="Arial"/>
          <w:sz w:val="24"/>
          <w:szCs w:val="24"/>
        </w:rPr>
        <w:t xml:space="preserve">in </w:t>
      </w:r>
      <w:r w:rsidR="00436A9A" w:rsidRPr="00B0687F">
        <w:rPr>
          <w:rFonts w:ascii="Arial" w:hAnsi="Arial" w:cs="Arial"/>
          <w:sz w:val="24"/>
          <w:szCs w:val="24"/>
        </w:rPr>
        <w:t xml:space="preserve">ways that are </w:t>
      </w:r>
      <w:r w:rsidR="00436A9A" w:rsidRPr="00B0687F">
        <w:rPr>
          <w:rFonts w:ascii="Arial" w:hAnsi="Arial" w:cs="Arial"/>
          <w:b/>
          <w:bCs/>
          <w:sz w:val="24"/>
          <w:szCs w:val="24"/>
        </w:rPr>
        <w:t>flexible</w:t>
      </w:r>
      <w:r w:rsidR="00436A9A" w:rsidRPr="00B0687F">
        <w:rPr>
          <w:rFonts w:ascii="Arial" w:hAnsi="Arial" w:cs="Arial"/>
          <w:sz w:val="24"/>
          <w:szCs w:val="24"/>
        </w:rPr>
        <w:t xml:space="preserve"> and </w:t>
      </w:r>
      <w:r w:rsidR="00436A9A" w:rsidRPr="00B0687F">
        <w:rPr>
          <w:rFonts w:ascii="Arial" w:hAnsi="Arial" w:cs="Arial"/>
          <w:b/>
          <w:bCs/>
          <w:sz w:val="24"/>
          <w:szCs w:val="24"/>
        </w:rPr>
        <w:t>responsive</w:t>
      </w:r>
      <w:r w:rsidR="007C50C9" w:rsidRPr="00B0687F">
        <w:rPr>
          <w:rFonts w:ascii="Arial" w:hAnsi="Arial" w:cs="Arial"/>
          <w:sz w:val="24"/>
          <w:szCs w:val="24"/>
        </w:rPr>
        <w:t>.</w:t>
      </w:r>
      <w:r w:rsidR="00C378E9" w:rsidRPr="00B0687F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14:paraId="742F2887" w14:textId="4E1EB280" w:rsidR="00887F5D" w:rsidRPr="00B0687F" w:rsidRDefault="00887F5D" w:rsidP="00477FBC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However, </w:t>
      </w:r>
      <w:r w:rsidR="00C666B1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offering</w:t>
      </w:r>
      <w:r w:rsidR="007C50C9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choice and control is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sometimes (wrongly) seen as an ‘all or nothing’ approach: the person either receives a direct payment and is in control, or they don’t (and therefore aren’t in control). There is also an impression that people either want to do everything on their own, as a private individual, or want to access group services and settings – when in practice we all want to do some things by ourselves and some things with others.</w:t>
      </w:r>
    </w:p>
    <w:p w14:paraId="473C90D7" w14:textId="301A018E" w:rsidR="00887F5D" w:rsidRPr="00B0687F" w:rsidRDefault="00887F5D" w:rsidP="00477FBC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In </w:t>
      </w:r>
      <w:r w:rsidR="0070086A"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Wales, Scotland, England and Northern Ireland</w:t>
      </w:r>
      <w:r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, there are various approaches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to providing the ‘middle ground’ between directly provided or commissioned services and direct payments. The language used varies but they are essentially </w:t>
      </w:r>
      <w:r w:rsidR="0070086A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options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that aim to provide choice and control for people who may not want to or be able to manage a direct payment, and who have a trusted service provider </w:t>
      </w:r>
      <w:r w:rsidR="00DD2A7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who they want to work with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.  </w:t>
      </w:r>
    </w:p>
    <w:p w14:paraId="02A83EB6" w14:textId="575522A9" w:rsidR="00426DE3" w:rsidRPr="00B0687F" w:rsidRDefault="00426DE3" w:rsidP="00477FB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For service providers, </w:t>
      </w:r>
      <w:r w:rsidR="001B4F36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these approaches offer the opportunity to move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away from bureaucratic block-contracts to a much more flexible way of working, which enables the person and the provider to work together on </w:t>
      </w:r>
      <w:r w:rsidR="00DD2A7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creating</w:t>
      </w:r>
      <w:r w:rsidR="00A07669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the 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best</w:t>
      </w:r>
      <w:r w:rsidR="00A07669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outcomes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for the person being supported.  For example, this could work well for some people with </w:t>
      </w:r>
      <w:r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mental health problems and/or learning disabilities</w:t>
      </w:r>
      <w:r w:rsidR="00F71B00"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– yet seems very under-developed across all four nations of the UK. </w:t>
      </w:r>
      <w:r w:rsidR="00F71B0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gramStart"/>
      <w:r w:rsidR="00F71B0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In particular, these</w:t>
      </w:r>
      <w:proofErr w:type="gramEnd"/>
      <w:r w:rsidR="00F71B0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approaches could work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F71B0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well in supported living </w:t>
      </w:r>
      <w:r w:rsidR="00B6775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settings</w:t>
      </w:r>
      <w:r w:rsidR="00F71B00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as these services are meant to offer very individualised approaches. However, there has been some concern – particularly during the pandemic – that some of supported living services could go further to ensure genuine choice and control.</w:t>
      </w:r>
      <w:r w:rsidR="00F71B00" w:rsidRPr="00B0687F">
        <w:rPr>
          <w:rStyle w:val="EndnoteReference"/>
          <w:rFonts w:ascii="Arial" w:eastAsia="Times New Roman" w:hAnsi="Arial" w:cs="Arial"/>
          <w:iCs/>
          <w:sz w:val="24"/>
          <w:szCs w:val="24"/>
          <w:lang w:eastAsia="en-GB"/>
        </w:rPr>
        <w:endnoteReference w:id="3"/>
      </w:r>
    </w:p>
    <w:p w14:paraId="33471DB3" w14:textId="1FD4F74B" w:rsidR="00E1555B" w:rsidRPr="00B0687F" w:rsidRDefault="00426DE3" w:rsidP="00477FBC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>IMPACT is therefore running one of its ‘Networks’ to explore how</w:t>
      </w:r>
      <w:r w:rsidR="008753F6"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approaches that offer a </w:t>
      </w:r>
      <w:r w:rsidR="008753F6"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middle way between commissioned services and direct payments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can be taken forward at the local level, with a specific focus on how they can be used by </w:t>
      </w:r>
      <w:r w:rsidRPr="00B0687F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people with mental health problems or learning disabilities</w:t>
      </w:r>
      <w:r w:rsidRPr="00B068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. </w:t>
      </w:r>
      <w:bookmarkStart w:id="1" w:name="_Toc95480685"/>
    </w:p>
    <w:p w14:paraId="24181343" w14:textId="77777777" w:rsidR="00526141" w:rsidRPr="00B0687F" w:rsidRDefault="00526141">
      <w:pPr>
        <w:spacing w:after="160"/>
        <w:rPr>
          <w:rFonts w:ascii="Arial" w:eastAsiaTheme="majorEastAsia" w:hAnsi="Arial" w:cs="Arial"/>
          <w:b/>
          <w:sz w:val="24"/>
          <w:szCs w:val="24"/>
        </w:rPr>
      </w:pPr>
      <w:r w:rsidRPr="00B0687F">
        <w:rPr>
          <w:rFonts w:ascii="Arial" w:hAnsi="Arial" w:cs="Arial"/>
          <w:szCs w:val="24"/>
        </w:rPr>
        <w:br w:type="page"/>
      </w:r>
    </w:p>
    <w:p w14:paraId="3B00D714" w14:textId="669603AE" w:rsidR="00426DE3" w:rsidRPr="00B0687F" w:rsidRDefault="00426DE3" w:rsidP="00B0687F">
      <w:pPr>
        <w:pStyle w:val="Heading2"/>
      </w:pPr>
      <w:r w:rsidRPr="00B0687F">
        <w:lastRenderedPageBreak/>
        <w:t xml:space="preserve">What are </w:t>
      </w:r>
      <w:r w:rsidR="008753F6" w:rsidRPr="00B0687F">
        <w:t xml:space="preserve">the different approaches used in England, </w:t>
      </w:r>
      <w:r w:rsidR="000737BB" w:rsidRPr="00B0687F">
        <w:t xml:space="preserve">Northern Ireland, </w:t>
      </w:r>
      <w:proofErr w:type="gramStart"/>
      <w:r w:rsidR="008753F6" w:rsidRPr="00B0687F">
        <w:t>Scotland</w:t>
      </w:r>
      <w:proofErr w:type="gramEnd"/>
      <w:r w:rsidR="008753F6" w:rsidRPr="00B0687F">
        <w:t xml:space="preserve"> </w:t>
      </w:r>
      <w:r w:rsidR="000737BB" w:rsidRPr="00B0687F">
        <w:t xml:space="preserve">and </w:t>
      </w:r>
      <w:r w:rsidR="008753F6" w:rsidRPr="00B0687F">
        <w:t>Wales?</w:t>
      </w:r>
      <w:r w:rsidR="008753F6" w:rsidRPr="00B0687F" w:rsidDel="008753F6">
        <w:t xml:space="preserve"> </w:t>
      </w:r>
      <w:bookmarkEnd w:id="1"/>
    </w:p>
    <w:p w14:paraId="2A47E07A" w14:textId="05A672B6" w:rsidR="007C50C9" w:rsidRPr="00B0687F" w:rsidRDefault="00426DE3" w:rsidP="00477FBC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In </w:t>
      </w:r>
      <w:r w:rsidRPr="00B0687F">
        <w:rPr>
          <w:rStyle w:val="Heading3Char"/>
        </w:rPr>
        <w:t>England,</w:t>
      </w:r>
      <w:r w:rsidRPr="00B0687F">
        <w:rPr>
          <w:rFonts w:ascii="Arial" w:hAnsi="Arial" w:cs="Arial"/>
          <w:bCs/>
          <w:sz w:val="24"/>
          <w:szCs w:val="24"/>
        </w:rPr>
        <w:t xml:space="preserve"> ‘Individual Service Funds’ or </w:t>
      </w:r>
      <w:r w:rsidR="0054690D" w:rsidRPr="00B0687F">
        <w:rPr>
          <w:rFonts w:ascii="Arial" w:hAnsi="Arial" w:cs="Arial"/>
          <w:bCs/>
          <w:sz w:val="24"/>
          <w:szCs w:val="24"/>
        </w:rPr>
        <w:t>‘</w:t>
      </w:r>
      <w:r w:rsidRPr="00B0687F">
        <w:rPr>
          <w:rFonts w:ascii="Arial" w:hAnsi="Arial" w:cs="Arial"/>
          <w:bCs/>
          <w:sz w:val="24"/>
          <w:szCs w:val="24"/>
        </w:rPr>
        <w:t>ISFs</w:t>
      </w:r>
      <w:r w:rsidR="0054690D" w:rsidRPr="00B0687F">
        <w:rPr>
          <w:rFonts w:ascii="Arial" w:hAnsi="Arial" w:cs="Arial"/>
          <w:bCs/>
          <w:sz w:val="24"/>
          <w:szCs w:val="24"/>
        </w:rPr>
        <w:t>’</w:t>
      </w:r>
      <w:r w:rsidRPr="00B0687F">
        <w:rPr>
          <w:rFonts w:ascii="Arial" w:hAnsi="Arial" w:cs="Arial"/>
          <w:bCs/>
          <w:sz w:val="24"/>
          <w:szCs w:val="24"/>
        </w:rPr>
        <w:t xml:space="preserve"> have been argued to </w:t>
      </w:r>
      <w:r w:rsidR="00DD2A70" w:rsidRPr="00B0687F">
        <w:rPr>
          <w:rFonts w:ascii="Arial" w:hAnsi="Arial" w:cs="Arial"/>
          <w:bCs/>
          <w:sz w:val="24"/>
          <w:szCs w:val="24"/>
        </w:rPr>
        <w:t>move away from</w:t>
      </w:r>
      <w:r w:rsidRPr="00B0687F">
        <w:rPr>
          <w:rFonts w:ascii="Arial" w:hAnsi="Arial" w:cs="Arial"/>
          <w:bCs/>
          <w:sz w:val="24"/>
          <w:szCs w:val="24"/>
        </w:rPr>
        <w:t xml:space="preserve"> traditional hierarchical relationships between commissioners, providers and people who receive support.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4"/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They have been used for more than 20 years but 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were </w:t>
      </w:r>
      <w:r w:rsidR="007C50C9" w:rsidRPr="00B0687F">
        <w:rPr>
          <w:rFonts w:ascii="Arial" w:hAnsi="Arial" w:cs="Arial"/>
          <w:bCs/>
          <w:sz w:val="24"/>
          <w:szCs w:val="24"/>
        </w:rPr>
        <w:t>formally included in policy in the 2014 Care Act.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5"/>
      </w:r>
    </w:p>
    <w:p w14:paraId="227B635E" w14:textId="477E4FA2" w:rsidR="007C50C9" w:rsidRPr="00B0687F" w:rsidRDefault="007C50C9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In </w:t>
      </w:r>
      <w:r w:rsidRPr="00B0687F">
        <w:rPr>
          <w:rStyle w:val="Heading3Char"/>
        </w:rPr>
        <w:t>Scotland</w:t>
      </w:r>
      <w:r w:rsidRPr="00B0687F">
        <w:rPr>
          <w:rFonts w:ascii="Arial" w:hAnsi="Arial" w:cs="Arial"/>
          <w:bCs/>
          <w:sz w:val="24"/>
          <w:szCs w:val="24"/>
        </w:rPr>
        <w:t>, ISFs are one way of managing an individual budget available under ‘Option 2’ of the Social Care (Self-Directed Support) Act 2013 where funding is allocated to a provider of choice or other third party. Though explicitly referenced in policy in the past 10 years, ISFs have used for over 25 years in areas of Scotland.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6"/>
      </w:r>
    </w:p>
    <w:p w14:paraId="729FC5B7" w14:textId="53C1CAFF" w:rsidR="007C50C9" w:rsidRPr="00B0687F" w:rsidRDefault="007C50C9">
      <w:pPr>
        <w:jc w:val="both"/>
        <w:rPr>
          <w:rFonts w:ascii="Arial" w:hAnsi="Arial" w:cs="Arial"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In </w:t>
      </w:r>
      <w:r w:rsidRPr="00B0687F">
        <w:rPr>
          <w:rStyle w:val="Heading3Char"/>
        </w:rPr>
        <w:t>Wales</w:t>
      </w:r>
      <w:r w:rsidRPr="00B0687F">
        <w:rPr>
          <w:rFonts w:ascii="Arial" w:hAnsi="Arial" w:cs="Arial"/>
          <w:bCs/>
          <w:sz w:val="24"/>
          <w:szCs w:val="24"/>
        </w:rPr>
        <w:t>, a different model emerged, described as a ‘citizens or user-led co-operative approach,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7"/>
      </w:r>
      <w:r w:rsidRPr="00B0687F">
        <w:rPr>
          <w:rFonts w:ascii="Arial" w:hAnsi="Arial" w:cs="Arial"/>
          <w:bCs/>
          <w:sz w:val="24"/>
          <w:szCs w:val="24"/>
        </w:rPr>
        <w:t xml:space="preserve"> in part influenced the long history of co-operatives in Wales and by </w:t>
      </w:r>
      <w:r w:rsidRPr="00B0687F">
        <w:rPr>
          <w:rFonts w:ascii="Arial" w:hAnsi="Arial" w:cs="Arial"/>
          <w:sz w:val="24"/>
          <w:szCs w:val="24"/>
        </w:rPr>
        <w:t>Section 16 of the Social Services and Well-being Act 2014. This provides a duty for local authorities to promote social enterprises, co-operatives, user-led services and the third sector in providing social care and support.</w:t>
      </w:r>
      <w:r w:rsidRPr="00B0687F">
        <w:rPr>
          <w:rStyle w:val="EndnoteReference"/>
          <w:rFonts w:ascii="Arial" w:hAnsi="Arial" w:cs="Arial"/>
          <w:sz w:val="24"/>
          <w:szCs w:val="24"/>
        </w:rPr>
        <w:endnoteReference w:id="8"/>
      </w:r>
      <w:r w:rsidRPr="00B0687F">
        <w:rPr>
          <w:rFonts w:ascii="Arial" w:hAnsi="Arial" w:cs="Arial"/>
          <w:sz w:val="24"/>
          <w:szCs w:val="24"/>
        </w:rPr>
        <w:t xml:space="preserve"> </w:t>
      </w:r>
    </w:p>
    <w:p w14:paraId="76710300" w14:textId="20747488" w:rsidR="007C50C9" w:rsidRPr="00B0687F" w:rsidRDefault="007C50C9">
      <w:pPr>
        <w:jc w:val="both"/>
        <w:rPr>
          <w:rFonts w:ascii="Arial" w:hAnsi="Arial" w:cs="Arial"/>
          <w:sz w:val="24"/>
          <w:szCs w:val="24"/>
        </w:rPr>
      </w:pPr>
      <w:r w:rsidRPr="00B0687F">
        <w:rPr>
          <w:rFonts w:ascii="Arial" w:hAnsi="Arial" w:cs="Arial"/>
          <w:sz w:val="24"/>
          <w:szCs w:val="24"/>
        </w:rPr>
        <w:t xml:space="preserve">In </w:t>
      </w:r>
      <w:r w:rsidRPr="00B0687F">
        <w:rPr>
          <w:rStyle w:val="Heading3Char"/>
        </w:rPr>
        <w:t>Northern Ireland</w:t>
      </w:r>
      <w:r w:rsidRPr="00B0687F">
        <w:rPr>
          <w:rFonts w:ascii="Arial" w:hAnsi="Arial" w:cs="Arial"/>
          <w:sz w:val="24"/>
          <w:szCs w:val="24"/>
        </w:rPr>
        <w:t xml:space="preserve">, the introduction of self-directed support in 2014 included the option of receiving a </w:t>
      </w:r>
      <w:r w:rsidR="0054690D" w:rsidRPr="00B0687F">
        <w:rPr>
          <w:rFonts w:ascii="Arial" w:hAnsi="Arial" w:cs="Arial"/>
          <w:sz w:val="24"/>
          <w:szCs w:val="24"/>
        </w:rPr>
        <w:t>d</w:t>
      </w:r>
      <w:r w:rsidRPr="00B0687F">
        <w:rPr>
          <w:rFonts w:ascii="Arial" w:hAnsi="Arial" w:cs="Arial"/>
          <w:sz w:val="24"/>
          <w:szCs w:val="24"/>
        </w:rPr>
        <w:t xml:space="preserve">irect </w:t>
      </w:r>
      <w:r w:rsidR="0054690D" w:rsidRPr="00B0687F">
        <w:rPr>
          <w:rFonts w:ascii="Arial" w:hAnsi="Arial" w:cs="Arial"/>
          <w:sz w:val="24"/>
          <w:szCs w:val="24"/>
        </w:rPr>
        <w:t>p</w:t>
      </w:r>
      <w:r w:rsidRPr="00B0687F">
        <w:rPr>
          <w:rFonts w:ascii="Arial" w:hAnsi="Arial" w:cs="Arial"/>
          <w:sz w:val="24"/>
          <w:szCs w:val="24"/>
        </w:rPr>
        <w:t xml:space="preserve">ayment as a ‘managed budget’, with the Trust, broker, care provider or another organisation holding the budget for a person who would ultimately be in control of how it is spent.  </w:t>
      </w:r>
    </w:p>
    <w:p w14:paraId="537D0A68" w14:textId="1B31E681" w:rsidR="007C50C9" w:rsidRPr="00B0687F" w:rsidRDefault="00B0687F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5742BCCC" wp14:editId="23936592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1390650</wp:posOffset>
                </wp:positionV>
                <wp:extent cx="5867400" cy="3476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7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A7A2" id="Rectangle 2" o:spid="_x0000_s1026" style="position:absolute;margin-left:-6pt;margin-top:109.5pt;width:462pt;height:273.7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" fillcolor="#bdd6ee [1300]" strokecolor="#1f4d78 [1604]" strokeweight="1pt"/>
            </w:pict>
          </mc:Fallback>
        </mc:AlternateConten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Though the language and the history of their development </w:t>
      </w:r>
      <w:r w:rsidR="00F71B00" w:rsidRPr="00B0687F">
        <w:rPr>
          <w:rFonts w:ascii="Arial" w:hAnsi="Arial" w:cs="Arial"/>
          <w:bCs/>
          <w:sz w:val="24"/>
          <w:szCs w:val="24"/>
        </w:rPr>
        <w:t>is different</w: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across the four nations of the UK, </w:t>
      </w:r>
      <w:proofErr w:type="gramStart"/>
      <w:r w:rsidR="007C50C9" w:rsidRPr="00B0687F">
        <w:rPr>
          <w:rFonts w:ascii="Arial" w:hAnsi="Arial" w:cs="Arial"/>
          <w:bCs/>
          <w:sz w:val="24"/>
          <w:szCs w:val="24"/>
        </w:rPr>
        <w:t>all of</w:t>
      </w:r>
      <w:proofErr w:type="gramEnd"/>
      <w:r w:rsidR="007C50C9" w:rsidRPr="00B0687F">
        <w:rPr>
          <w:rFonts w:ascii="Arial" w:hAnsi="Arial" w:cs="Arial"/>
          <w:bCs/>
          <w:sz w:val="24"/>
          <w:szCs w:val="24"/>
        </w:rPr>
        <w:t xml:space="preserve"> the above are </w:t>
      </w:r>
      <w:r w:rsidR="00866A58" w:rsidRPr="00B0687F">
        <w:rPr>
          <w:rFonts w:ascii="Arial" w:hAnsi="Arial" w:cs="Arial"/>
          <w:b/>
          <w:bCs/>
          <w:sz w:val="24"/>
          <w:szCs w:val="24"/>
        </w:rPr>
        <w:t xml:space="preserve">approaches </w:t>
      </w:r>
      <w:r w:rsidR="007C50C9" w:rsidRPr="00B0687F">
        <w:rPr>
          <w:rFonts w:ascii="Arial" w:hAnsi="Arial" w:cs="Arial"/>
          <w:b/>
          <w:bCs/>
          <w:sz w:val="24"/>
          <w:szCs w:val="24"/>
        </w:rPr>
        <w:t xml:space="preserve">that can provide people who draw on care and support with choice and control if they do not have the capacity to, or do not want the responsibility of, managing a </w:t>
      </w:r>
      <w:r w:rsidR="0054690D" w:rsidRPr="00B0687F">
        <w:rPr>
          <w:rFonts w:ascii="Arial" w:hAnsi="Arial" w:cs="Arial"/>
          <w:b/>
          <w:bCs/>
          <w:sz w:val="24"/>
          <w:szCs w:val="24"/>
        </w:rPr>
        <w:t>d</w:t>
      </w:r>
      <w:r w:rsidR="007C50C9" w:rsidRPr="00B0687F">
        <w:rPr>
          <w:rFonts w:ascii="Arial" w:hAnsi="Arial" w:cs="Arial"/>
          <w:b/>
          <w:bCs/>
          <w:sz w:val="24"/>
          <w:szCs w:val="24"/>
        </w:rPr>
        <w:t xml:space="preserve">irect </w:t>
      </w:r>
      <w:r w:rsidR="0054690D" w:rsidRPr="00B0687F">
        <w:rPr>
          <w:rFonts w:ascii="Arial" w:hAnsi="Arial" w:cs="Arial"/>
          <w:b/>
          <w:bCs/>
          <w:sz w:val="24"/>
          <w:szCs w:val="24"/>
        </w:rPr>
        <w:t>p</w:t>
      </w:r>
      <w:r w:rsidR="007C50C9" w:rsidRPr="00B0687F">
        <w:rPr>
          <w:rFonts w:ascii="Arial" w:hAnsi="Arial" w:cs="Arial"/>
          <w:b/>
          <w:bCs/>
          <w:sz w:val="24"/>
          <w:szCs w:val="24"/>
        </w:rPr>
        <w:t>ayment.</w: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In these cases, a person would work with a trusted service provider or other organisation, who might receive money on the person’s behalf, but then work with them on a flexible basis as to how the money is spent.  </w:t>
      </w:r>
    </w:p>
    <w:p w14:paraId="1F5D4A5E" w14:textId="4B5F1EEA" w:rsidR="009546FB" w:rsidRPr="00B0687F" w:rsidRDefault="009546FB" w:rsidP="00B0687F">
      <w:pPr>
        <w:pStyle w:val="Heading2"/>
      </w:pPr>
      <w:r w:rsidRPr="00B0687F">
        <w:t xml:space="preserve">What are the </w:t>
      </w:r>
      <w:r w:rsidR="00F71B00" w:rsidRPr="00B0687F">
        <w:t>4</w:t>
      </w:r>
      <w:r w:rsidRPr="00B0687F">
        <w:t xml:space="preserve"> key elements of </w:t>
      </w:r>
      <w:r w:rsidR="00F71B00" w:rsidRPr="00B0687F">
        <w:t>ISFs/ Managed Budgets/ the Co-operative approaches</w:t>
      </w:r>
      <w:r w:rsidRPr="00B0687F">
        <w:t>?</w:t>
      </w:r>
      <w:r w:rsidRPr="00B0687F">
        <w:rPr>
          <w:rStyle w:val="EndnoteReference"/>
          <w:sz w:val="24"/>
          <w:szCs w:val="24"/>
        </w:rPr>
        <w:endnoteReference w:id="9"/>
      </w:r>
      <w:r w:rsidRPr="00B0687F">
        <w:t xml:space="preserve"> </w:t>
      </w:r>
    </w:p>
    <w:p w14:paraId="58FACC97" w14:textId="77777777" w:rsidR="009546FB" w:rsidRPr="00B0687F" w:rsidRDefault="009546FB" w:rsidP="000737B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An upfront individual budget allocation</w:t>
      </w:r>
    </w:p>
    <w:p w14:paraId="2887B1E5" w14:textId="77777777" w:rsidR="009546FB" w:rsidRPr="00B0687F" w:rsidRDefault="009546FB" w:rsidP="000737B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A flexible support arrangement designed around the person</w:t>
      </w:r>
    </w:p>
    <w:p w14:paraId="78C06D63" w14:textId="77777777" w:rsidR="009546FB" w:rsidRPr="00B0687F" w:rsidRDefault="009546FB" w:rsidP="000737B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A budget that is used to focus on a good life, not just a service</w:t>
      </w:r>
    </w:p>
    <w:p w14:paraId="09316EF2" w14:textId="041783A3" w:rsidR="009546FB" w:rsidRPr="00B0687F" w:rsidRDefault="009546FB" w:rsidP="000737B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Maximum control for the person over decision making. </w:t>
      </w:r>
    </w:p>
    <w:p w14:paraId="5F6C1078" w14:textId="421788FB" w:rsidR="00866A58" w:rsidRPr="00B0687F" w:rsidRDefault="00866A58" w:rsidP="00B0687F">
      <w:pPr>
        <w:pStyle w:val="Heading2"/>
      </w:pPr>
      <w:r w:rsidRPr="00B0687F">
        <w:rPr>
          <w:noProof/>
          <w:lang w:eastAsia="en-GB"/>
        </w:rPr>
        <w:t>What do these approaches look</w:t>
      </w:r>
      <w:r w:rsidR="00426DE3" w:rsidRPr="00B0687F">
        <w:t xml:space="preserve"> like </w:t>
      </w:r>
      <w:r w:rsidR="0054690D" w:rsidRPr="00B0687F">
        <w:t xml:space="preserve">to </w:t>
      </w:r>
      <w:r w:rsidR="00426DE3" w:rsidRPr="00B0687F">
        <w:t xml:space="preserve">person who </w:t>
      </w:r>
      <w:r w:rsidR="005248D2" w:rsidRPr="00B0687F">
        <w:t>draws on care and support</w:t>
      </w:r>
      <w:r w:rsidRPr="00B0687F">
        <w:t>?</w:t>
      </w:r>
      <w:r w:rsidR="007C50C9" w:rsidRPr="00B0687F">
        <w:rPr>
          <w:rStyle w:val="EndnoteReference"/>
          <w:sz w:val="24"/>
          <w:szCs w:val="24"/>
        </w:rPr>
        <w:endnoteReference w:id="10"/>
      </w:r>
    </w:p>
    <w:p w14:paraId="33ECA615" w14:textId="77777777" w:rsidR="00866A58" w:rsidRPr="00B0687F" w:rsidRDefault="00866A58" w:rsidP="000737BB">
      <w:pPr>
        <w:spacing w:before="12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0687F">
        <w:rPr>
          <w:rFonts w:ascii="Arial" w:hAnsi="Arial" w:cs="Arial"/>
          <w:i/>
          <w:sz w:val="24"/>
          <w:szCs w:val="24"/>
        </w:rPr>
        <w:t>What</w:t>
      </w:r>
      <w:r w:rsidRPr="00B0687F">
        <w:rPr>
          <w:rFonts w:ascii="Arial" w:hAnsi="Arial" w:cs="Arial"/>
          <w:iCs/>
          <w:sz w:val="24"/>
          <w:szCs w:val="24"/>
        </w:rPr>
        <w:t>: “I can use my hours/ budget flexibly and I can choose what I am supported with.”</w:t>
      </w:r>
    </w:p>
    <w:p w14:paraId="18AC405C" w14:textId="77777777" w:rsidR="00866A58" w:rsidRPr="00B0687F" w:rsidRDefault="00866A58" w:rsidP="000737BB">
      <w:pPr>
        <w:spacing w:before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0687F">
        <w:rPr>
          <w:rFonts w:ascii="Arial" w:hAnsi="Arial" w:cs="Arial"/>
          <w:i/>
          <w:sz w:val="24"/>
          <w:szCs w:val="24"/>
        </w:rPr>
        <w:t>Where</w:t>
      </w:r>
      <w:r w:rsidRPr="00B0687F">
        <w:rPr>
          <w:rFonts w:ascii="Arial" w:hAnsi="Arial" w:cs="Arial"/>
          <w:iCs/>
          <w:sz w:val="24"/>
          <w:szCs w:val="24"/>
        </w:rPr>
        <w:t>: “I am supported where it makes sense for me, at home and out and about.”</w:t>
      </w:r>
    </w:p>
    <w:p w14:paraId="232DBCE6" w14:textId="77777777" w:rsidR="00866A58" w:rsidRPr="00B0687F" w:rsidRDefault="00866A58" w:rsidP="000737BB">
      <w:pPr>
        <w:spacing w:before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0687F">
        <w:rPr>
          <w:rFonts w:ascii="Arial" w:hAnsi="Arial" w:cs="Arial"/>
          <w:i/>
          <w:sz w:val="24"/>
          <w:szCs w:val="24"/>
        </w:rPr>
        <w:t>Who</w:t>
      </w:r>
      <w:r w:rsidRPr="00B0687F">
        <w:rPr>
          <w:rFonts w:ascii="Arial" w:hAnsi="Arial" w:cs="Arial"/>
          <w:iCs/>
          <w:sz w:val="24"/>
          <w:szCs w:val="24"/>
        </w:rPr>
        <w:t xml:space="preserve">: “I choose who I want to support me, my support worker knows </w:t>
      </w:r>
      <w:proofErr w:type="gramStart"/>
      <w:r w:rsidRPr="00B0687F">
        <w:rPr>
          <w:rFonts w:ascii="Arial" w:hAnsi="Arial" w:cs="Arial"/>
          <w:iCs/>
          <w:sz w:val="24"/>
          <w:szCs w:val="24"/>
        </w:rPr>
        <w:t>me</w:t>
      </w:r>
      <w:proofErr w:type="gramEnd"/>
      <w:r w:rsidRPr="00B0687F">
        <w:rPr>
          <w:rFonts w:ascii="Arial" w:hAnsi="Arial" w:cs="Arial"/>
          <w:iCs/>
          <w:sz w:val="24"/>
          <w:szCs w:val="24"/>
        </w:rPr>
        <w:t xml:space="preserve"> and I know them.”</w:t>
      </w:r>
    </w:p>
    <w:p w14:paraId="2CB4953A" w14:textId="77777777" w:rsidR="00866A58" w:rsidRPr="00B0687F" w:rsidRDefault="00866A58" w:rsidP="000737BB">
      <w:pPr>
        <w:spacing w:before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0687F">
        <w:rPr>
          <w:rFonts w:ascii="Arial" w:hAnsi="Arial" w:cs="Arial"/>
          <w:i/>
          <w:sz w:val="24"/>
          <w:szCs w:val="24"/>
        </w:rPr>
        <w:t>When</w:t>
      </w:r>
      <w:r w:rsidRPr="00B0687F">
        <w:rPr>
          <w:rFonts w:ascii="Arial" w:hAnsi="Arial" w:cs="Arial"/>
          <w:iCs/>
          <w:sz w:val="24"/>
          <w:szCs w:val="24"/>
        </w:rPr>
        <w:t>: “I get the support on the days and times that are right for me.”</w:t>
      </w:r>
    </w:p>
    <w:p w14:paraId="26CDAB76" w14:textId="26101831" w:rsidR="00866A58" w:rsidRPr="00B0687F" w:rsidRDefault="00866A58" w:rsidP="000737BB">
      <w:pPr>
        <w:spacing w:before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0687F">
        <w:rPr>
          <w:rFonts w:ascii="Arial" w:hAnsi="Arial" w:cs="Arial"/>
          <w:i/>
          <w:sz w:val="24"/>
          <w:szCs w:val="24"/>
        </w:rPr>
        <w:t>How</w:t>
      </w:r>
      <w:r w:rsidRPr="00B0687F">
        <w:rPr>
          <w:rFonts w:ascii="Arial" w:hAnsi="Arial" w:cs="Arial"/>
          <w:iCs/>
          <w:sz w:val="24"/>
          <w:szCs w:val="24"/>
        </w:rPr>
        <w:t xml:space="preserve">: “I choose how I am </w:t>
      </w:r>
      <w:proofErr w:type="gramStart"/>
      <w:r w:rsidRPr="00B0687F">
        <w:rPr>
          <w:rFonts w:ascii="Arial" w:hAnsi="Arial" w:cs="Arial"/>
          <w:iCs/>
          <w:sz w:val="24"/>
          <w:szCs w:val="24"/>
        </w:rPr>
        <w:t>supported</w:t>
      </w:r>
      <w:proofErr w:type="gramEnd"/>
      <w:r w:rsidRPr="00B0687F">
        <w:rPr>
          <w:rFonts w:ascii="Arial" w:hAnsi="Arial" w:cs="Arial"/>
          <w:iCs/>
          <w:sz w:val="24"/>
          <w:szCs w:val="24"/>
        </w:rPr>
        <w:t xml:space="preserve"> and my support workers know this is important to me.”</w:t>
      </w:r>
    </w:p>
    <w:p w14:paraId="21C5D716" w14:textId="77777777" w:rsidR="009546FB" w:rsidRPr="00B0687F" w:rsidRDefault="009546FB" w:rsidP="0054690D">
      <w:pPr>
        <w:jc w:val="both"/>
        <w:rPr>
          <w:rFonts w:ascii="Arial" w:hAnsi="Arial" w:cs="Arial"/>
          <w:bCs/>
          <w:sz w:val="24"/>
          <w:szCs w:val="24"/>
        </w:rPr>
      </w:pPr>
    </w:p>
    <w:p w14:paraId="0F864A52" w14:textId="481D64FA" w:rsidR="00C82EA2" w:rsidRPr="00B0687F" w:rsidRDefault="00FC6706" w:rsidP="00477FBC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With </w:t>
      </w:r>
      <w:r w:rsidR="0054690D" w:rsidRPr="00B0687F">
        <w:rPr>
          <w:rFonts w:ascii="Arial" w:hAnsi="Arial" w:cs="Arial"/>
          <w:bCs/>
          <w:sz w:val="24"/>
          <w:szCs w:val="24"/>
        </w:rPr>
        <w:t xml:space="preserve">the </w:t>
      </w:r>
      <w:r w:rsidRPr="00B0687F">
        <w:rPr>
          <w:rFonts w:ascii="Arial" w:hAnsi="Arial" w:cs="Arial"/>
          <w:bCs/>
          <w:sz w:val="24"/>
          <w:szCs w:val="24"/>
        </w:rPr>
        <w:t>ISF model, p</w:t>
      </w:r>
      <w:r w:rsidR="00426DE3" w:rsidRPr="00B0687F">
        <w:rPr>
          <w:rFonts w:ascii="Arial" w:hAnsi="Arial" w:cs="Arial"/>
          <w:bCs/>
          <w:sz w:val="24"/>
          <w:szCs w:val="24"/>
        </w:rPr>
        <w:t xml:space="preserve">eople </w:t>
      </w:r>
      <w:r w:rsidR="00F71B00" w:rsidRPr="00B0687F">
        <w:rPr>
          <w:rFonts w:ascii="Arial" w:hAnsi="Arial" w:cs="Arial"/>
          <w:bCs/>
          <w:sz w:val="24"/>
          <w:szCs w:val="24"/>
        </w:rPr>
        <w:t>have</w:t>
      </w:r>
      <w:r w:rsidR="00426DE3" w:rsidRPr="00B0687F">
        <w:rPr>
          <w:rFonts w:ascii="Arial" w:hAnsi="Arial" w:cs="Arial"/>
          <w:bCs/>
          <w:sz w:val="24"/>
          <w:szCs w:val="24"/>
        </w:rPr>
        <w:t xml:space="preserve"> </w:t>
      </w:r>
      <w:r w:rsidR="00F71B00" w:rsidRPr="00B0687F">
        <w:rPr>
          <w:rFonts w:ascii="Arial" w:hAnsi="Arial" w:cs="Arial"/>
          <w:bCs/>
          <w:sz w:val="24"/>
          <w:szCs w:val="24"/>
        </w:rPr>
        <w:t>been able to</w:t>
      </w:r>
      <w:r w:rsidR="00426DE3" w:rsidRPr="00B0687F">
        <w:rPr>
          <w:rFonts w:ascii="Arial" w:hAnsi="Arial" w:cs="Arial"/>
          <w:bCs/>
          <w:sz w:val="24"/>
          <w:szCs w:val="24"/>
        </w:rPr>
        <w:t xml:space="preserve"> </w:t>
      </w:r>
      <w:r w:rsidR="00426DE3" w:rsidRPr="00B0687F">
        <w:rPr>
          <w:rFonts w:ascii="Arial" w:hAnsi="Arial" w:cs="Arial"/>
          <w:b/>
          <w:sz w:val="24"/>
          <w:szCs w:val="24"/>
        </w:rPr>
        <w:t xml:space="preserve">pool their </w:t>
      </w:r>
      <w:r w:rsidRPr="00B0687F">
        <w:rPr>
          <w:rFonts w:ascii="Arial" w:hAnsi="Arial" w:cs="Arial"/>
          <w:b/>
          <w:sz w:val="24"/>
          <w:szCs w:val="24"/>
        </w:rPr>
        <w:t>resources</w:t>
      </w:r>
      <w:r w:rsidR="00426DE3" w:rsidRPr="00B0687F">
        <w:rPr>
          <w:rFonts w:ascii="Arial" w:hAnsi="Arial" w:cs="Arial"/>
          <w:bCs/>
          <w:sz w:val="24"/>
          <w:szCs w:val="24"/>
        </w:rPr>
        <w:t xml:space="preserve"> to purchase goods or services that would be of mutual benefit but beyond their own </w:t>
      </w:r>
      <w:r w:rsidRPr="00B0687F">
        <w:rPr>
          <w:rFonts w:ascii="Arial" w:hAnsi="Arial" w:cs="Arial"/>
          <w:bCs/>
          <w:sz w:val="24"/>
          <w:szCs w:val="24"/>
        </w:rPr>
        <w:t>funding</w:t>
      </w:r>
      <w:r w:rsidR="00426DE3" w:rsidRPr="00B0687F">
        <w:rPr>
          <w:rFonts w:ascii="Arial" w:hAnsi="Arial" w:cs="Arial"/>
          <w:bCs/>
          <w:sz w:val="24"/>
          <w:szCs w:val="24"/>
        </w:rPr>
        <w:t xml:space="preserve"> allocation.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1"/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</w:t>
      </w:r>
      <w:r w:rsidR="00887F5D" w:rsidRPr="00B0687F">
        <w:rPr>
          <w:rFonts w:ascii="Arial" w:hAnsi="Arial" w:cs="Arial"/>
          <w:bCs/>
          <w:sz w:val="24"/>
          <w:szCs w:val="24"/>
        </w:rPr>
        <w:t xml:space="preserve">This seems a good way of enabling people to do some things together, but some things on their own – but </w:t>
      </w:r>
      <w:r w:rsidR="00DD2A70" w:rsidRPr="00B0687F">
        <w:rPr>
          <w:rFonts w:ascii="Arial" w:hAnsi="Arial" w:cs="Arial"/>
          <w:bCs/>
          <w:sz w:val="24"/>
          <w:szCs w:val="24"/>
        </w:rPr>
        <w:t>in practice are</w:t>
      </w:r>
      <w:r w:rsidR="00887F5D" w:rsidRPr="00B0687F">
        <w:rPr>
          <w:rFonts w:ascii="Arial" w:hAnsi="Arial" w:cs="Arial"/>
          <w:bCs/>
          <w:sz w:val="24"/>
          <w:szCs w:val="24"/>
        </w:rPr>
        <w:t xml:space="preserve"> under-developed at present.</w:t>
      </w:r>
      <w:r w:rsidR="00C82EA2" w:rsidRPr="00B0687F">
        <w:rPr>
          <w:rFonts w:ascii="Arial" w:hAnsi="Arial" w:cs="Arial"/>
          <w:bCs/>
          <w:sz w:val="24"/>
          <w:szCs w:val="24"/>
        </w:rPr>
        <w:t xml:space="preserve"> 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Pooled resources </w:t>
      </w:r>
      <w:r w:rsidR="00A4546C" w:rsidRPr="00B0687F">
        <w:rPr>
          <w:rFonts w:ascii="Arial" w:hAnsi="Arial" w:cs="Arial"/>
          <w:bCs/>
          <w:sz w:val="24"/>
          <w:szCs w:val="24"/>
        </w:rPr>
        <w:t xml:space="preserve">also could be particularly useful in the context of supported living. </w:t>
      </w:r>
    </w:p>
    <w:p w14:paraId="1A6A9813" w14:textId="25A45391" w:rsidR="007C50C9" w:rsidRPr="00B0687F" w:rsidRDefault="00C82EA2" w:rsidP="00C82EA2">
      <w:pPr>
        <w:jc w:val="both"/>
        <w:rPr>
          <w:rFonts w:ascii="Arial" w:hAnsi="Arial" w:cs="Arial"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In Wales, the pooling of resources has been taken further with the </w:t>
      </w:r>
      <w:r w:rsidRPr="00B0687F">
        <w:rPr>
          <w:rFonts w:ascii="Arial" w:hAnsi="Arial" w:cs="Arial"/>
          <w:b/>
          <w:sz w:val="24"/>
          <w:szCs w:val="24"/>
        </w:rPr>
        <w:t>creation of formal co-operatives</w:t>
      </w:r>
      <w:r w:rsidRPr="00B0687F">
        <w:rPr>
          <w:rFonts w:ascii="Arial" w:hAnsi="Arial" w:cs="Arial"/>
          <w:bCs/>
          <w:sz w:val="24"/>
          <w:szCs w:val="24"/>
        </w:rPr>
        <w:t>.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2"/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A spectrum of co-operative approaches have been developed, including: </w:t>
      </w:r>
      <w:proofErr w:type="spellStart"/>
      <w:r w:rsidR="007C50C9" w:rsidRPr="00B0687F">
        <w:rPr>
          <w:rFonts w:ascii="Arial" w:hAnsi="Arial" w:cs="Arial"/>
          <w:bCs/>
          <w:sz w:val="24"/>
          <w:szCs w:val="24"/>
        </w:rPr>
        <w:t>i</w:t>
      </w:r>
      <w:proofErr w:type="spellEnd"/>
      <w:r w:rsidR="007C50C9" w:rsidRPr="00B0687F">
        <w:rPr>
          <w:rFonts w:ascii="Arial" w:hAnsi="Arial" w:cs="Arial"/>
          <w:bCs/>
          <w:sz w:val="24"/>
          <w:szCs w:val="24"/>
        </w:rPr>
        <w:t xml:space="preserve">) </w:t>
      </w:r>
      <w:r w:rsidR="007C50C9" w:rsidRPr="00B0687F">
        <w:rPr>
          <w:rFonts w:ascii="Arial" w:hAnsi="Arial" w:cs="Arial"/>
          <w:sz w:val="24"/>
          <w:szCs w:val="24"/>
        </w:rPr>
        <w:t xml:space="preserve">citizen-directed or user-led co-operatives; ii) multi-stakeholder co-operative with service users, </w:t>
      </w:r>
      <w:proofErr w:type="gramStart"/>
      <w:r w:rsidR="007C50C9" w:rsidRPr="00B0687F">
        <w:rPr>
          <w:rFonts w:ascii="Arial" w:hAnsi="Arial" w:cs="Arial"/>
          <w:sz w:val="24"/>
          <w:szCs w:val="24"/>
        </w:rPr>
        <w:t>staff</w:t>
      </w:r>
      <w:proofErr w:type="gramEnd"/>
      <w:r w:rsidR="007C50C9" w:rsidRPr="00B0687F">
        <w:rPr>
          <w:rFonts w:ascii="Arial" w:hAnsi="Arial" w:cs="Arial"/>
          <w:sz w:val="24"/>
          <w:szCs w:val="24"/>
        </w:rPr>
        <w:t xml:space="preserve"> and community organisations as members, and iii) services provided to direct payment recipients on a contracted basis from an employee-owned co-operative home care provider. 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3"/>
      </w:r>
    </w:p>
    <w:p w14:paraId="500F3E9D" w14:textId="5F6182A4" w:rsidR="007C50C9" w:rsidRPr="00B0687F" w:rsidRDefault="007C50C9" w:rsidP="00B0687F">
      <w:pPr>
        <w:pStyle w:val="Heading2"/>
      </w:pPr>
      <w:r w:rsidRPr="00B0687F">
        <w:t xml:space="preserve">Why </w:t>
      </w:r>
      <w:proofErr w:type="gramStart"/>
      <w:r w:rsidRPr="00B0687F">
        <w:t>use</w:t>
      </w:r>
      <w:proofErr w:type="gramEnd"/>
      <w:r w:rsidRPr="00B0687F">
        <w:t xml:space="preserve"> these approaches? </w:t>
      </w:r>
    </w:p>
    <w:p w14:paraId="78D0668C" w14:textId="62E9D0EB" w:rsidR="007C50C9" w:rsidRPr="00B0687F" w:rsidRDefault="0096385E" w:rsidP="00F71B00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Evidence</w: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highligh</w:t>
      </w:r>
      <w:r w:rsidRPr="00B0687F">
        <w:rPr>
          <w:rFonts w:ascii="Arial" w:hAnsi="Arial" w:cs="Arial"/>
          <w:bCs/>
          <w:sz w:val="24"/>
          <w:szCs w:val="24"/>
        </w:rPr>
        <w:t>ts</w: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</w:t>
      </w:r>
      <w:r w:rsidR="00F71B00" w:rsidRPr="00B0687F">
        <w:rPr>
          <w:rFonts w:ascii="Arial" w:hAnsi="Arial" w:cs="Arial"/>
          <w:bCs/>
          <w:sz w:val="24"/>
          <w:szCs w:val="24"/>
        </w:rPr>
        <w:t>several</w:t>
      </w:r>
      <w:r w:rsidR="007C50C9" w:rsidRPr="00B0687F">
        <w:rPr>
          <w:rFonts w:ascii="Arial" w:hAnsi="Arial" w:cs="Arial"/>
          <w:bCs/>
          <w:sz w:val="24"/>
          <w:szCs w:val="24"/>
        </w:rPr>
        <w:t xml:space="preserve"> benefits of using these models. They have been found to: </w:t>
      </w:r>
    </w:p>
    <w:p w14:paraId="6DFB0277" w14:textId="205D1BB3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Promote choice and control for the person.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4"/>
      </w:r>
      <w:r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519A87F0" w14:textId="35F786C7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“</w:t>
      </w:r>
      <w:proofErr w:type="gramStart"/>
      <w:r w:rsidRPr="00B0687F">
        <w:rPr>
          <w:rFonts w:ascii="Arial" w:hAnsi="Arial" w:cs="Arial"/>
          <w:bCs/>
          <w:sz w:val="24"/>
          <w:szCs w:val="24"/>
        </w:rPr>
        <w:t>increase</w:t>
      </w:r>
      <w:proofErr w:type="gramEnd"/>
      <w:r w:rsidR="0096385E" w:rsidRPr="00B0687F">
        <w:rPr>
          <w:rFonts w:ascii="Arial" w:hAnsi="Arial" w:cs="Arial"/>
          <w:bCs/>
          <w:sz w:val="24"/>
          <w:szCs w:val="24"/>
        </w:rPr>
        <w:t>…</w:t>
      </w:r>
      <w:r w:rsidRPr="00B0687F">
        <w:rPr>
          <w:rFonts w:ascii="Arial" w:hAnsi="Arial" w:cs="Arial"/>
          <w:bCs/>
          <w:sz w:val="24"/>
          <w:szCs w:val="24"/>
        </w:rPr>
        <w:t xml:space="preserve"> self-confidence, improved health and wellbeing, reduced professional support, improved relationships, increased autonomy and greater self-advocacy”. 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5"/>
      </w:r>
      <w:r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305DF401" w14:textId="655B5A52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Improve outcomes, and the better use of their own and community assets.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t xml:space="preserve"> 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6"/>
      </w:r>
    </w:p>
    <w:p w14:paraId="1F66A0D5" w14:textId="56966DE6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Offer a flexible, responsive approach that allows for creativity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t xml:space="preserve"> 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7"/>
      </w:r>
      <w:r w:rsidRPr="00B0687F">
        <w:rPr>
          <w:rFonts w:ascii="Arial" w:hAnsi="Arial" w:cs="Arial"/>
          <w:bCs/>
          <w:sz w:val="24"/>
          <w:szCs w:val="24"/>
        </w:rPr>
        <w:t>, and are beneficial if a person has a fluctuating health condition.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8"/>
      </w:r>
    </w:p>
    <w:p w14:paraId="3F34D662" w14:textId="7B9BD3EB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Provide clarity and accountability, where everyone knows what their rights, responsibilities and roles are.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t xml:space="preserve"> 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19"/>
      </w:r>
    </w:p>
    <w:p w14:paraId="55E8F77E" w14:textId="73FA412E" w:rsidR="007C50C9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‘Keep it local’ by ensuring councils’ funding is spent locally when used alongside micro </w:t>
      </w:r>
      <w:r w:rsidR="0096385E" w:rsidRPr="00B0687F">
        <w:rPr>
          <w:rFonts w:ascii="Arial" w:hAnsi="Arial" w:cs="Arial"/>
          <w:bCs/>
          <w:sz w:val="24"/>
          <w:szCs w:val="24"/>
        </w:rPr>
        <w:t>enterprises</w:t>
      </w:r>
      <w:r w:rsidRPr="00B0687F">
        <w:rPr>
          <w:rFonts w:ascii="Arial" w:hAnsi="Arial" w:cs="Arial"/>
          <w:bCs/>
          <w:sz w:val="24"/>
          <w:szCs w:val="24"/>
        </w:rPr>
        <w:t>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20"/>
      </w:r>
      <w:r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6556665A" w14:textId="10069E21" w:rsidR="00495B6E" w:rsidRPr="00B0687F" w:rsidRDefault="007C50C9" w:rsidP="00F71B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From a provider perspective, they increased business opportunities; ability to ‘flex’ support around a person and be creative; improved cash flow; becoming a trusted provider; being up to date in terms of best practice; growing business opportunities.</w:t>
      </w:r>
      <w:r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21"/>
      </w:r>
      <w:r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45A17F65" w14:textId="68BDA620" w:rsidR="007559C1" w:rsidRPr="00B0687F" w:rsidRDefault="007559C1" w:rsidP="00B0687F">
      <w:pPr>
        <w:pStyle w:val="Heading2"/>
      </w:pPr>
      <w:r w:rsidRPr="00B0687F">
        <w:t xml:space="preserve">How do </w:t>
      </w:r>
      <w:r w:rsidR="008753F6" w:rsidRPr="00B0687F">
        <w:t>these approaches</w:t>
      </w:r>
      <w:r w:rsidR="00887F5D" w:rsidRPr="00B0687F">
        <w:t xml:space="preserve"> </w:t>
      </w:r>
      <w:r w:rsidRPr="00B0687F">
        <w:t>work in practice?</w:t>
      </w:r>
    </w:p>
    <w:p w14:paraId="34D7BA2A" w14:textId="77777777" w:rsidR="00B67750" w:rsidRPr="00B0687F" w:rsidRDefault="007559C1" w:rsidP="00477FBC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Developing and enhancing the use of </w:t>
      </w:r>
      <w:r w:rsidR="00FC6706" w:rsidRPr="00B0687F">
        <w:rPr>
          <w:rFonts w:ascii="Arial" w:hAnsi="Arial" w:cs="Arial"/>
          <w:bCs/>
          <w:sz w:val="24"/>
          <w:szCs w:val="24"/>
        </w:rPr>
        <w:t xml:space="preserve">any of these 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approaches </w:t>
      </w:r>
      <w:r w:rsidRPr="00B0687F">
        <w:rPr>
          <w:rFonts w:ascii="Arial" w:hAnsi="Arial" w:cs="Arial"/>
          <w:bCs/>
          <w:sz w:val="24"/>
          <w:szCs w:val="24"/>
        </w:rPr>
        <w:t xml:space="preserve">will require change in </w:t>
      </w:r>
      <w:r w:rsidR="00F71B00" w:rsidRPr="00B0687F">
        <w:rPr>
          <w:rFonts w:ascii="Arial" w:hAnsi="Arial" w:cs="Arial"/>
          <w:bCs/>
          <w:sz w:val="24"/>
          <w:szCs w:val="24"/>
        </w:rPr>
        <w:t>several</w:t>
      </w:r>
      <w:r w:rsidRPr="00B0687F">
        <w:rPr>
          <w:rFonts w:ascii="Arial" w:hAnsi="Arial" w:cs="Arial"/>
          <w:bCs/>
          <w:sz w:val="24"/>
          <w:szCs w:val="24"/>
        </w:rPr>
        <w:t xml:space="preserve"> areas by various actors in the system. Commissioning authorities, providers of services</w:t>
      </w:r>
      <w:r w:rsidR="00887F5D" w:rsidRPr="00B0687F">
        <w:rPr>
          <w:rFonts w:ascii="Arial" w:hAnsi="Arial" w:cs="Arial"/>
          <w:bCs/>
          <w:sz w:val="24"/>
          <w:szCs w:val="24"/>
        </w:rPr>
        <w:t xml:space="preserve"> and</w:t>
      </w:r>
      <w:r w:rsidRPr="00B0687F">
        <w:rPr>
          <w:rFonts w:ascii="Arial" w:hAnsi="Arial" w:cs="Arial"/>
          <w:bCs/>
          <w:sz w:val="24"/>
          <w:szCs w:val="24"/>
        </w:rPr>
        <w:t xml:space="preserve"> community groups need to work alongside the person who needs support, their </w:t>
      </w:r>
      <w:proofErr w:type="gramStart"/>
      <w:r w:rsidRPr="00B0687F">
        <w:rPr>
          <w:rFonts w:ascii="Arial" w:hAnsi="Arial" w:cs="Arial"/>
          <w:bCs/>
          <w:sz w:val="24"/>
          <w:szCs w:val="24"/>
        </w:rPr>
        <w:t>family</w:t>
      </w:r>
      <w:proofErr w:type="gramEnd"/>
      <w:r w:rsidRPr="00B0687F">
        <w:rPr>
          <w:rFonts w:ascii="Arial" w:hAnsi="Arial" w:cs="Arial"/>
          <w:bCs/>
          <w:sz w:val="24"/>
          <w:szCs w:val="24"/>
        </w:rPr>
        <w:t xml:space="preserve"> and others in their ‘circle of support’</w:t>
      </w:r>
      <w:r w:rsidR="00F71B00" w:rsidRPr="00B0687F">
        <w:rPr>
          <w:rFonts w:ascii="Arial" w:hAnsi="Arial" w:cs="Arial"/>
          <w:bCs/>
          <w:sz w:val="24"/>
          <w:szCs w:val="24"/>
        </w:rPr>
        <w:t>,</w:t>
      </w:r>
      <w:r w:rsidRPr="00B0687F">
        <w:rPr>
          <w:rFonts w:ascii="Arial" w:hAnsi="Arial" w:cs="Arial"/>
          <w:bCs/>
          <w:sz w:val="24"/>
          <w:szCs w:val="24"/>
        </w:rPr>
        <w:t xml:space="preserve"> including advocates. </w:t>
      </w:r>
    </w:p>
    <w:p w14:paraId="53CC3F78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219E172D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1D19FE6A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43894BB4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3A4C5022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64B9E36A" w14:textId="77777777" w:rsidR="000737BB" w:rsidRPr="00B0687F" w:rsidRDefault="000737BB" w:rsidP="00477FBC">
      <w:pPr>
        <w:jc w:val="both"/>
        <w:rPr>
          <w:rFonts w:ascii="Arial" w:hAnsi="Arial" w:cs="Arial"/>
          <w:bCs/>
          <w:sz w:val="24"/>
          <w:szCs w:val="24"/>
        </w:rPr>
      </w:pPr>
    </w:p>
    <w:p w14:paraId="54E624CD" w14:textId="32A0DAD5" w:rsidR="00AE058D" w:rsidRPr="00B0687F" w:rsidRDefault="00FC6706" w:rsidP="00477FBC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lastRenderedPageBreak/>
        <w:t>Taking ISFs as an example, f</w:t>
      </w:r>
      <w:r w:rsidR="007559C1" w:rsidRPr="00B0687F">
        <w:rPr>
          <w:rFonts w:ascii="Arial" w:hAnsi="Arial" w:cs="Arial"/>
          <w:bCs/>
          <w:sz w:val="24"/>
          <w:szCs w:val="24"/>
        </w:rPr>
        <w:t xml:space="preserve">or local authorities/ councils/ health and social care trusts, 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a </w:t>
      </w:r>
      <w:r w:rsidR="007559C1" w:rsidRPr="00B0687F">
        <w:rPr>
          <w:rFonts w:ascii="Arial" w:hAnsi="Arial" w:cs="Arial"/>
          <w:bCs/>
          <w:sz w:val="24"/>
          <w:szCs w:val="24"/>
        </w:rPr>
        <w:t xml:space="preserve">practical 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implementation </w:t>
      </w:r>
      <w:r w:rsidR="007559C1" w:rsidRPr="00B0687F">
        <w:rPr>
          <w:rFonts w:ascii="Arial" w:hAnsi="Arial" w:cs="Arial"/>
          <w:bCs/>
          <w:sz w:val="24"/>
          <w:szCs w:val="24"/>
        </w:rPr>
        <w:t>process</w:t>
      </w:r>
      <w:r w:rsidR="000737BB" w:rsidRPr="00B0687F">
        <w:rPr>
          <w:rFonts w:ascii="Arial" w:hAnsi="Arial" w:cs="Arial"/>
          <w:bCs/>
          <w:sz w:val="24"/>
          <w:szCs w:val="24"/>
        </w:rPr>
        <w:t xml:space="preserve"> could look like this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22"/>
      </w:r>
      <w:r w:rsidR="007C50C9" w:rsidRPr="00B0687F">
        <w:rPr>
          <w:rFonts w:ascii="Arial" w:hAnsi="Arial" w:cs="Arial"/>
          <w:bCs/>
          <w:sz w:val="24"/>
          <w:szCs w:val="24"/>
        </w:rPr>
        <w:t>:</w:t>
      </w:r>
      <w:r w:rsidR="007559C1"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5BBC97DF" w14:textId="5BB46048" w:rsidR="00AE058D" w:rsidRPr="00B0687F" w:rsidRDefault="00AE058D" w:rsidP="007559C1">
      <w:p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7B21291" wp14:editId="3B7A63C3">
            <wp:extent cx="5937250" cy="3806655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65" cy="38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3B36" w14:textId="3727830B" w:rsidR="00AE058D" w:rsidRPr="00B0687F" w:rsidRDefault="00AE058D" w:rsidP="007559C1">
      <w:pPr>
        <w:jc w:val="both"/>
        <w:rPr>
          <w:rFonts w:ascii="Arial" w:hAnsi="Arial" w:cs="Arial"/>
          <w:bCs/>
          <w:sz w:val="24"/>
          <w:szCs w:val="24"/>
        </w:rPr>
      </w:pPr>
    </w:p>
    <w:p w14:paraId="129B6220" w14:textId="4881A141" w:rsidR="00C82EA2" w:rsidRPr="00B0687F" w:rsidRDefault="00C82EA2" w:rsidP="00477FBC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Other tips for implementing these </w:t>
      </w:r>
      <w:r w:rsidR="00477FBC" w:rsidRPr="00B0687F">
        <w:rPr>
          <w:rFonts w:ascii="Arial" w:hAnsi="Arial" w:cs="Arial"/>
          <w:bCs/>
          <w:sz w:val="24"/>
          <w:szCs w:val="24"/>
        </w:rPr>
        <w:t>approaches</w:t>
      </w:r>
      <w:r w:rsidR="00DD2A70" w:rsidRPr="00B0687F">
        <w:rPr>
          <w:rFonts w:ascii="Arial" w:hAnsi="Arial" w:cs="Arial"/>
          <w:bCs/>
          <w:sz w:val="24"/>
          <w:szCs w:val="24"/>
        </w:rPr>
        <w:t xml:space="preserve"> </w:t>
      </w:r>
      <w:r w:rsidRPr="00B0687F">
        <w:rPr>
          <w:rFonts w:ascii="Arial" w:hAnsi="Arial" w:cs="Arial"/>
          <w:bCs/>
          <w:sz w:val="24"/>
          <w:szCs w:val="24"/>
        </w:rPr>
        <w:t>include</w:t>
      </w:r>
      <w:r w:rsidR="007C50C9" w:rsidRPr="00B0687F">
        <w:rPr>
          <w:rStyle w:val="EndnoteReference"/>
          <w:rFonts w:ascii="Arial" w:hAnsi="Arial" w:cs="Arial"/>
          <w:bCs/>
          <w:sz w:val="24"/>
          <w:szCs w:val="24"/>
        </w:rPr>
        <w:endnoteReference w:id="23"/>
      </w:r>
      <w:r w:rsidR="007C50C9" w:rsidRPr="00B0687F">
        <w:rPr>
          <w:rFonts w:ascii="Arial" w:hAnsi="Arial" w:cs="Arial"/>
          <w:bCs/>
          <w:sz w:val="24"/>
          <w:szCs w:val="24"/>
        </w:rPr>
        <w:t>:</w:t>
      </w:r>
      <w:r w:rsidRPr="00B0687F">
        <w:rPr>
          <w:rFonts w:ascii="Arial" w:hAnsi="Arial" w:cs="Arial"/>
          <w:bCs/>
          <w:sz w:val="24"/>
          <w:szCs w:val="24"/>
        </w:rPr>
        <w:t xml:space="preserve"> </w:t>
      </w:r>
    </w:p>
    <w:p w14:paraId="764A8F50" w14:textId="68FB5390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Consider piloting the new approach to build experience and knowledge.</w:t>
      </w:r>
    </w:p>
    <w:p w14:paraId="26303363" w14:textId="24BAA165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Place the person at the centre of decision </w:t>
      </w:r>
      <w:proofErr w:type="gramStart"/>
      <w:r w:rsidRPr="00B0687F">
        <w:rPr>
          <w:rFonts w:ascii="Arial" w:hAnsi="Arial" w:cs="Arial"/>
          <w:bCs/>
          <w:sz w:val="24"/>
          <w:szCs w:val="24"/>
        </w:rPr>
        <w:t>making, and</w:t>
      </w:r>
      <w:proofErr w:type="gramEnd"/>
      <w:r w:rsidRPr="00B0687F">
        <w:rPr>
          <w:rFonts w:ascii="Arial" w:hAnsi="Arial" w:cs="Arial"/>
          <w:bCs/>
          <w:sz w:val="24"/>
          <w:szCs w:val="24"/>
        </w:rPr>
        <w:t xml:space="preserve"> focus on outcomes. </w:t>
      </w:r>
    </w:p>
    <w:p w14:paraId="4345D2B6" w14:textId="43E0E757" w:rsidR="00C82EA2" w:rsidRPr="00B0687F" w:rsidRDefault="00FA11F3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Communication is key and </w:t>
      </w:r>
      <w:r w:rsidR="00C82EA2" w:rsidRPr="00B0687F">
        <w:rPr>
          <w:rFonts w:ascii="Arial" w:hAnsi="Arial" w:cs="Arial"/>
          <w:bCs/>
          <w:sz w:val="24"/>
          <w:szCs w:val="24"/>
        </w:rPr>
        <w:t xml:space="preserve">regular meetings between commissioners, social workers, </w:t>
      </w:r>
      <w:proofErr w:type="gramStart"/>
      <w:r w:rsidR="00C82EA2" w:rsidRPr="00B0687F">
        <w:rPr>
          <w:rFonts w:ascii="Arial" w:hAnsi="Arial" w:cs="Arial"/>
          <w:bCs/>
          <w:sz w:val="24"/>
          <w:szCs w:val="24"/>
        </w:rPr>
        <w:t>providers</w:t>
      </w:r>
      <w:proofErr w:type="gramEnd"/>
      <w:r w:rsidR="00C82EA2" w:rsidRPr="00B0687F">
        <w:rPr>
          <w:rFonts w:ascii="Arial" w:hAnsi="Arial" w:cs="Arial"/>
          <w:bCs/>
          <w:sz w:val="24"/>
          <w:szCs w:val="24"/>
        </w:rPr>
        <w:t xml:space="preserve"> and people who use service to share and explore problems and practice</w:t>
      </w:r>
      <w:r w:rsidRPr="00B0687F">
        <w:rPr>
          <w:rFonts w:ascii="Arial" w:hAnsi="Arial" w:cs="Arial"/>
          <w:bCs/>
          <w:sz w:val="24"/>
          <w:szCs w:val="24"/>
        </w:rPr>
        <w:t xml:space="preserve"> are important</w:t>
      </w:r>
      <w:r w:rsidR="00C82EA2" w:rsidRPr="00B0687F">
        <w:rPr>
          <w:rFonts w:ascii="Arial" w:hAnsi="Arial" w:cs="Arial"/>
          <w:bCs/>
          <w:sz w:val="24"/>
          <w:szCs w:val="24"/>
        </w:rPr>
        <w:t>.</w:t>
      </w:r>
    </w:p>
    <w:p w14:paraId="1D487BD1" w14:textId="099B8491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Create training opportunities for both social workers and providers to ensure everyone is ‘on the same page’. </w:t>
      </w:r>
    </w:p>
    <w:p w14:paraId="7BEF35BB" w14:textId="0EA580D6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Co-create accessible information with </w:t>
      </w:r>
      <w:r w:rsidRPr="00B0687F">
        <w:rPr>
          <w:rFonts w:ascii="Arial" w:hAnsi="Arial" w:cs="Arial"/>
          <w:bCs/>
          <w:sz w:val="24"/>
          <w:szCs w:val="24"/>
          <w:u w:val="single"/>
        </w:rPr>
        <w:t>and</w:t>
      </w:r>
      <w:r w:rsidRPr="00B0687F">
        <w:rPr>
          <w:rFonts w:ascii="Arial" w:hAnsi="Arial" w:cs="Arial"/>
          <w:bCs/>
          <w:sz w:val="24"/>
          <w:szCs w:val="24"/>
        </w:rPr>
        <w:t xml:space="preserve"> for people who use services and their carers about the model you’re using.</w:t>
      </w:r>
      <w:r w:rsidRPr="00B0687F">
        <w:rPr>
          <w:rStyle w:val="FootnoteReference"/>
          <w:rFonts w:ascii="Arial" w:hAnsi="Arial" w:cs="Arial"/>
          <w:bCs/>
          <w:sz w:val="24"/>
          <w:szCs w:val="24"/>
        </w:rPr>
        <w:t xml:space="preserve"> </w:t>
      </w:r>
    </w:p>
    <w:p w14:paraId="102D81D7" w14:textId="55F91E11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Develop a transparent system to monitor expenditure which allows for a degree of over/underspend.</w:t>
      </w:r>
      <w:r w:rsidRPr="00B0687F">
        <w:rPr>
          <w:rStyle w:val="FootnoteReference"/>
          <w:rFonts w:ascii="Arial" w:hAnsi="Arial" w:cs="Arial"/>
          <w:bCs/>
          <w:sz w:val="24"/>
          <w:szCs w:val="24"/>
        </w:rPr>
        <w:t xml:space="preserve"> </w:t>
      </w:r>
    </w:p>
    <w:p w14:paraId="5F86FCB8" w14:textId="301412A8" w:rsidR="00C82EA2" w:rsidRPr="00B0687F" w:rsidRDefault="00C82EA2" w:rsidP="00C82E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>Factor in the administrative costs for providers using these models so that they are sustainable.</w:t>
      </w:r>
      <w:r w:rsidRPr="00B0687F">
        <w:rPr>
          <w:rStyle w:val="FootnoteReference"/>
          <w:rFonts w:ascii="Arial" w:hAnsi="Arial" w:cs="Arial"/>
          <w:bCs/>
          <w:sz w:val="24"/>
          <w:szCs w:val="24"/>
        </w:rPr>
        <w:t xml:space="preserve"> </w:t>
      </w:r>
    </w:p>
    <w:p w14:paraId="6344D463" w14:textId="2E18153D" w:rsidR="00F71B00" w:rsidRPr="00B0687F" w:rsidRDefault="00FA11F3" w:rsidP="00477FB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0687F">
        <w:rPr>
          <w:rFonts w:ascii="Arial" w:hAnsi="Arial" w:cs="Arial"/>
          <w:bCs/>
          <w:sz w:val="24"/>
          <w:szCs w:val="24"/>
        </w:rPr>
        <w:t xml:space="preserve">Monitor and evaluate progress but with realistic expectations- change takes time. </w:t>
      </w:r>
    </w:p>
    <w:p w14:paraId="0B68EFC8" w14:textId="77777777" w:rsidR="002765A4" w:rsidRPr="00B0687F" w:rsidRDefault="002765A4" w:rsidP="002765A4">
      <w:pPr>
        <w:pBdr>
          <w:bottom w:val="dotted" w:sz="24" w:space="1" w:color="auto"/>
        </w:pBdr>
        <w:spacing w:after="160"/>
        <w:rPr>
          <w:rFonts w:ascii="Arial" w:hAnsi="Arial" w:cs="Arial"/>
          <w:b/>
          <w:bCs/>
          <w:sz w:val="24"/>
          <w:szCs w:val="24"/>
        </w:rPr>
      </w:pPr>
    </w:p>
    <w:p w14:paraId="34F93EDB" w14:textId="77777777" w:rsidR="00B0687F" w:rsidRDefault="00B0687F">
      <w:pPr>
        <w:spacing w:after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9946C77" w14:textId="68AC4C55" w:rsidR="00E22174" w:rsidRPr="00B0687F" w:rsidRDefault="00E22174" w:rsidP="00B0687F">
      <w:pPr>
        <w:pStyle w:val="Heading1"/>
      </w:pPr>
      <w:r w:rsidRPr="00B0687F">
        <w:lastRenderedPageBreak/>
        <w:t>More resources: Videos</w:t>
      </w:r>
    </w:p>
    <w:p w14:paraId="061017CE" w14:textId="46D926F6" w:rsidR="00E22174" w:rsidRPr="00B0687F" w:rsidRDefault="00E22174" w:rsidP="00E22174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</w:rPr>
      </w:pPr>
      <w:r w:rsidRPr="00B0687F">
        <w:rPr>
          <w:rFonts w:ascii="Arial" w:hAnsi="Arial" w:cs="Arial"/>
        </w:rPr>
        <w:t xml:space="preserve">‘Option 2 Self-Directed Support: </w:t>
      </w:r>
      <w:hyperlink r:id="rId12" w:history="1">
        <w:r w:rsidRPr="00B0687F">
          <w:rPr>
            <w:rStyle w:val="Hyperlink"/>
            <w:rFonts w:ascii="Arial" w:hAnsi="Arial" w:cs="Arial"/>
          </w:rPr>
          <w:t>https://youtu.be/uuwS-eoTa68</w:t>
        </w:r>
      </w:hyperlink>
    </w:p>
    <w:p w14:paraId="4A5D3CB4" w14:textId="161087B3" w:rsidR="00E22174" w:rsidRPr="00B0687F" w:rsidRDefault="00E22174" w:rsidP="007E3CC2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</w:rPr>
      </w:pPr>
      <w:r w:rsidRPr="00B0687F">
        <w:rPr>
          <w:rFonts w:ascii="Arial" w:hAnsi="Arial" w:cs="Arial"/>
        </w:rPr>
        <w:t xml:space="preserve">ISFs: </w:t>
      </w:r>
      <w:hyperlink r:id="rId13" w:history="1">
        <w:r w:rsidRPr="00B0687F">
          <w:rPr>
            <w:rStyle w:val="Hyperlink"/>
            <w:rFonts w:ascii="Arial" w:hAnsi="Arial" w:cs="Arial"/>
          </w:rPr>
          <w:t>https://youtu.be/fqcdTirYHks</w:t>
        </w:r>
      </w:hyperlink>
      <w:r w:rsidR="000476C4" w:rsidRPr="00B0687F">
        <w:rPr>
          <w:rFonts w:ascii="Arial" w:hAnsi="Arial" w:cs="Arial"/>
        </w:rPr>
        <w:t xml:space="preserve">; </w:t>
      </w:r>
      <w:hyperlink r:id="rId14" w:history="1">
        <w:r w:rsidRPr="00B0687F">
          <w:rPr>
            <w:rStyle w:val="Hyperlink"/>
            <w:rFonts w:ascii="Arial" w:hAnsi="Arial" w:cs="Arial"/>
          </w:rPr>
          <w:t>https://youtu.be/lHOyIZLxqms</w:t>
        </w:r>
      </w:hyperlink>
      <w:r w:rsidRPr="00B0687F">
        <w:rPr>
          <w:rFonts w:ascii="Arial" w:hAnsi="Arial" w:cs="Arial"/>
        </w:rPr>
        <w:t xml:space="preserve"> </w:t>
      </w:r>
    </w:p>
    <w:p w14:paraId="525A4EC1" w14:textId="4F7DB97D" w:rsidR="00E22174" w:rsidRPr="00B0687F" w:rsidRDefault="00E22174" w:rsidP="00E22174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</w:rPr>
      </w:pPr>
      <w:r w:rsidRPr="00B0687F">
        <w:rPr>
          <w:rFonts w:ascii="Arial" w:hAnsi="Arial" w:cs="Arial"/>
        </w:rPr>
        <w:t xml:space="preserve">Self-directed support and managed budgets in Northern Ireland: </w:t>
      </w:r>
      <w:hyperlink r:id="rId15" w:history="1">
        <w:r w:rsidRPr="00B0687F">
          <w:rPr>
            <w:rStyle w:val="Hyperlink"/>
            <w:rFonts w:ascii="Arial" w:hAnsi="Arial" w:cs="Arial"/>
          </w:rPr>
          <w:t>https://www.youtube.com/watch?v=CGv4xmG8jEA</w:t>
        </w:r>
      </w:hyperlink>
    </w:p>
    <w:p w14:paraId="36CCEA24" w14:textId="38CC0B56" w:rsidR="00E22174" w:rsidRPr="00B0687F" w:rsidRDefault="00E22174" w:rsidP="003110AE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</w:rPr>
      </w:pPr>
      <w:r w:rsidRPr="00B0687F">
        <w:rPr>
          <w:rFonts w:ascii="Arial" w:hAnsi="Arial" w:cs="Arial"/>
        </w:rPr>
        <w:t xml:space="preserve">Co-operatives and care in Wales: </w:t>
      </w:r>
      <w:hyperlink r:id="rId16" w:history="1">
        <w:r w:rsidRPr="00B0687F">
          <w:rPr>
            <w:rStyle w:val="Hyperlink"/>
            <w:rFonts w:ascii="Arial" w:hAnsi="Arial" w:cs="Arial"/>
          </w:rPr>
          <w:t>https://youtu.be/VI-E9JxKO2g</w:t>
        </w:r>
      </w:hyperlink>
      <w:r w:rsidR="000476C4" w:rsidRPr="00B0687F">
        <w:rPr>
          <w:rFonts w:ascii="Arial" w:hAnsi="Arial" w:cs="Arial"/>
        </w:rPr>
        <w:t xml:space="preserve">; </w:t>
      </w:r>
      <w:hyperlink r:id="rId17" w:history="1">
        <w:r w:rsidRPr="00B0687F">
          <w:rPr>
            <w:rStyle w:val="Hyperlink"/>
            <w:rFonts w:ascii="Arial" w:hAnsi="Arial" w:cs="Arial"/>
          </w:rPr>
          <w:t>https://youtu.be/N0D_yRdSAp8</w:t>
        </w:r>
      </w:hyperlink>
      <w:r w:rsidRPr="00B0687F">
        <w:rPr>
          <w:rFonts w:ascii="Arial" w:hAnsi="Arial" w:cs="Arial"/>
        </w:rPr>
        <w:t xml:space="preserve"> </w:t>
      </w:r>
    </w:p>
    <w:p w14:paraId="7541157F" w14:textId="6DC49579" w:rsidR="00000000" w:rsidRPr="00B0687F" w:rsidRDefault="007C50C9" w:rsidP="00B0687F">
      <w:pPr>
        <w:pStyle w:val="Heading1"/>
      </w:pPr>
      <w:r w:rsidRPr="00B0687F">
        <w:t>References</w:t>
      </w:r>
    </w:p>
    <w:sectPr w:rsidR="007007D1" w:rsidRPr="00B0687F" w:rsidSect="00B0687F">
      <w:headerReference w:type="default" r:id="rId18"/>
      <w:footerReference w:type="default" r:id="rId19"/>
      <w:endnotePr>
        <w:numFmt w:val="decimal"/>
      </w:endnotePr>
      <w:pgSz w:w="11906" w:h="16838"/>
      <w:pgMar w:top="1843" w:right="1440" w:bottom="993" w:left="1440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AA66" w14:textId="77777777" w:rsidR="0063661C" w:rsidRDefault="0063661C" w:rsidP="00426DE3">
      <w:pPr>
        <w:spacing w:after="0" w:line="240" w:lineRule="auto"/>
      </w:pPr>
      <w:r>
        <w:separator/>
      </w:r>
    </w:p>
  </w:endnote>
  <w:endnote w:type="continuationSeparator" w:id="0">
    <w:p w14:paraId="3BD87447" w14:textId="77777777" w:rsidR="0063661C" w:rsidRDefault="0063661C" w:rsidP="00426DE3">
      <w:pPr>
        <w:spacing w:after="0" w:line="240" w:lineRule="auto"/>
      </w:pPr>
      <w:r>
        <w:continuationSeparator/>
      </w:r>
    </w:p>
  </w:endnote>
  <w:endnote w:id="1">
    <w:p w14:paraId="229B4ACC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Glendinning, C. (2008). Increasing choice and control for older and disabled people: A critical review of new developments in England. Social Policy and Administration. Vol. 42(5) 451-469, p. 459.</w:t>
      </w:r>
    </w:p>
  </w:endnote>
  <w:endnote w:id="2">
    <w:p w14:paraId="632186D3" w14:textId="77777777" w:rsidR="00C378E9" w:rsidRPr="00E22174" w:rsidRDefault="00C378E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Kendall, S and Cameron, A (2013). Personalisation of adult social care: self-directed support and the choice and control agenda. British Journal of Learning Disabilities. 42. 264-271.</w:t>
      </w:r>
    </w:p>
    <w:p w14:paraId="183E376E" w14:textId="77777777" w:rsidR="00C378E9" w:rsidRPr="00E22174" w:rsidRDefault="00C378E9" w:rsidP="00E22174">
      <w:pPr>
        <w:pStyle w:val="EndnoteText"/>
        <w:rPr>
          <w:rFonts w:cstheme="minorHAnsi"/>
          <w:sz w:val="22"/>
          <w:szCs w:val="22"/>
        </w:rPr>
      </w:pPr>
      <w:proofErr w:type="spellStart"/>
      <w:r w:rsidRPr="00E22174">
        <w:rPr>
          <w:rFonts w:cstheme="minorHAnsi"/>
          <w:sz w:val="22"/>
          <w:szCs w:val="22"/>
        </w:rPr>
        <w:t>Rabliee</w:t>
      </w:r>
      <w:proofErr w:type="spellEnd"/>
      <w:r w:rsidRPr="00E22174">
        <w:rPr>
          <w:rFonts w:cstheme="minorHAnsi"/>
          <w:sz w:val="22"/>
          <w:szCs w:val="22"/>
        </w:rPr>
        <w:t xml:space="preserve">, P; Baxter, K and Glendinning, C. (2016). Supporting Choice: Support planning, older people and managed personal budgets. Journal of Social Work. Vol. 16(4) 453-469. </w:t>
      </w:r>
    </w:p>
    <w:p w14:paraId="25E12438" w14:textId="77777777" w:rsidR="00C378E9" w:rsidRPr="00E22174" w:rsidRDefault="00C378E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Fonts w:cstheme="minorHAnsi"/>
          <w:sz w:val="22"/>
          <w:szCs w:val="22"/>
        </w:rPr>
        <w:t>Squire, A and Richmond, P. (2017). No place like home: The economics of independent living. Partners for Inclusion Group.</w:t>
      </w:r>
    </w:p>
    <w:p w14:paraId="49374718" w14:textId="77777777" w:rsidR="00C378E9" w:rsidRPr="00E22174" w:rsidRDefault="00C378E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Fonts w:cstheme="minorHAnsi"/>
          <w:sz w:val="22"/>
          <w:szCs w:val="22"/>
        </w:rPr>
        <w:t>Hoolahan, S. (2012). ISFs in action: Personalising block contract. Choice Support, Southwark Council.</w:t>
      </w:r>
    </w:p>
  </w:endnote>
  <w:endnote w:id="3">
    <w:p w14:paraId="1F730BD0" w14:textId="77777777" w:rsidR="00F71B00" w:rsidRPr="00E22174" w:rsidRDefault="00F71B00" w:rsidP="00E22174">
      <w:pPr>
        <w:pStyle w:val="EndnoteText"/>
        <w:rPr>
          <w:sz w:val="22"/>
          <w:szCs w:val="22"/>
        </w:rPr>
      </w:pPr>
      <w:r w:rsidRPr="00E22174">
        <w:rPr>
          <w:rStyle w:val="EndnoteReference"/>
          <w:sz w:val="22"/>
          <w:szCs w:val="22"/>
        </w:rPr>
        <w:endnoteRef/>
      </w:r>
      <w:r w:rsidRPr="00E22174">
        <w:rPr>
          <w:sz w:val="22"/>
          <w:szCs w:val="22"/>
        </w:rPr>
        <w:t xml:space="preserve"> Finlay, W. Walton, C and Antaki, C. (2008). Promoting choice and control in residential services for people with learning disabilities. Disability and Society. Vol. 23(4) 340-360.</w:t>
      </w:r>
    </w:p>
    <w:p w14:paraId="1B98E4C9" w14:textId="77777777" w:rsidR="00F71B00" w:rsidRPr="00E22174" w:rsidRDefault="00F71B00" w:rsidP="00E22174">
      <w:pPr>
        <w:pStyle w:val="EndnoteText"/>
        <w:rPr>
          <w:sz w:val="22"/>
          <w:szCs w:val="22"/>
        </w:rPr>
      </w:pPr>
      <w:r w:rsidRPr="00E22174">
        <w:rPr>
          <w:sz w:val="22"/>
          <w:szCs w:val="22"/>
        </w:rPr>
        <w:t xml:space="preserve">Hughes, N. and Anderson, G., 2020. The experience of the COVID-19 pandemic in a UK learning disability </w:t>
      </w:r>
      <w:proofErr w:type="gramStart"/>
      <w:r w:rsidRPr="00E22174">
        <w:rPr>
          <w:sz w:val="22"/>
          <w:szCs w:val="22"/>
        </w:rPr>
        <w:t>service:</w:t>
      </w:r>
      <w:proofErr w:type="gramEnd"/>
      <w:r w:rsidRPr="00E22174">
        <w:rPr>
          <w:sz w:val="22"/>
          <w:szCs w:val="22"/>
        </w:rPr>
        <w:t xml:space="preserve"> lost in a sea of ever changing variables–a perspective. International Journal of Developmental Disabilities, pp.1-4.</w:t>
      </w:r>
    </w:p>
    <w:p w14:paraId="538DABAA" w14:textId="77777777" w:rsidR="00F71B00" w:rsidRPr="00E22174" w:rsidRDefault="00F71B00" w:rsidP="00E22174">
      <w:pPr>
        <w:pStyle w:val="EndnoteText"/>
        <w:rPr>
          <w:sz w:val="22"/>
          <w:szCs w:val="22"/>
        </w:rPr>
      </w:pPr>
      <w:r w:rsidRPr="00E22174">
        <w:rPr>
          <w:sz w:val="22"/>
          <w:szCs w:val="22"/>
        </w:rPr>
        <w:t>Trip, H., Northway, R., Perkins, E., Mirfin‐Veitch, B., &amp; Adams, R. (2022). COVID‐19: Evolving challenges and opportunities for residential and vocational intellectual disability service providers. Journal of Policy and Practice in Intellectual Disabilities, 19(1), 102-115.</w:t>
      </w:r>
    </w:p>
  </w:endnote>
  <w:endnote w:id="4">
    <w:p w14:paraId="629B747C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Thistle Foundation. (2015). I would never have believed… Learning from the Individual Service Fund pilot 2014, Edinburgh: Thistle Foundation. </w:t>
      </w:r>
    </w:p>
  </w:endnote>
  <w:endnote w:id="5">
    <w:p w14:paraId="00D0942A" w14:textId="7AE41FFA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TLAP. (2015). Individual Service Funds (ISFs) and Contracting for Flexible Support Practice guidance to support implementation of the Care Act 2014, London: TLAP.</w:t>
      </w:r>
    </w:p>
    <w:p w14:paraId="1CABA6C5" w14:textId="615A4816" w:rsidR="00EF2332" w:rsidRPr="00E22174" w:rsidRDefault="00EF2332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Fonts w:cstheme="minorHAnsi"/>
          <w:sz w:val="22"/>
          <w:szCs w:val="22"/>
          <w:lang w:val="en-US"/>
        </w:rPr>
        <w:t xml:space="preserve">Miller, R., &amp; Sanderson, H. (2014). The Individual Service Funds Handbook: Implementing Personal Budgets in Provider </w:t>
      </w:r>
      <w:proofErr w:type="spellStart"/>
      <w:r w:rsidRPr="00E22174">
        <w:rPr>
          <w:rFonts w:cstheme="minorHAnsi"/>
          <w:sz w:val="22"/>
          <w:szCs w:val="22"/>
          <w:lang w:val="en-US"/>
        </w:rPr>
        <w:t>Organisations</w:t>
      </w:r>
      <w:proofErr w:type="spellEnd"/>
      <w:r w:rsidRPr="00E22174">
        <w:rPr>
          <w:rFonts w:cstheme="minorHAnsi"/>
          <w:sz w:val="22"/>
          <w:szCs w:val="22"/>
          <w:lang w:val="en-US"/>
        </w:rPr>
        <w:t>. Jessica Kingsley Publishers.</w:t>
      </w:r>
    </w:p>
  </w:endnote>
  <w:endnote w:id="6">
    <w:p w14:paraId="5CD0BDF0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</w:t>
      </w:r>
      <w:r w:rsidRPr="00E22174">
        <w:rPr>
          <w:rFonts w:cstheme="minorHAnsi"/>
          <w:sz w:val="22"/>
          <w:szCs w:val="22"/>
          <w:lang w:val="en-US"/>
        </w:rPr>
        <w:t xml:space="preserve">First used by Inclusion Glasgow, (Smith and Brown, 2018). </w:t>
      </w:r>
    </w:p>
  </w:endnote>
  <w:endnote w:id="7">
    <w:p w14:paraId="4F13803F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Citizen Directed Co-operatives Cymru. (2018). Direct Payments and a Disabled People’s Co-operative Model: A Toolkit, p. 3. </w:t>
      </w:r>
    </w:p>
  </w:endnote>
  <w:endnote w:id="8">
    <w:p w14:paraId="3A2BD0F2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Disability Wales and the Social Cooperation Forum (2014). The Social Services and Well-being (Wales) Act and User-led Co-operatives. https://socialcare.wales/hub/hub-resource-sub-categories/user-led-co-operatives</w:t>
      </w:r>
    </w:p>
  </w:endnote>
  <w:endnote w:id="9">
    <w:p w14:paraId="4879F6AE" w14:textId="77777777" w:rsidR="009546FB" w:rsidRPr="00E22174" w:rsidRDefault="009546FB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 xml:space="preserve">Smith, Sam. and Brown, Frances. (2018) </w:t>
      </w:r>
      <w:r w:rsidRPr="00E22174">
        <w:rPr>
          <w:rFonts w:cstheme="minorHAnsi"/>
          <w:bCs/>
          <w:i/>
        </w:rPr>
        <w:t>Individual Service Funds: a guide to making Self-Directed Support work for everyone</w:t>
      </w:r>
      <w:r w:rsidRPr="00E22174">
        <w:rPr>
          <w:rFonts w:cstheme="minorHAnsi"/>
          <w:bCs/>
        </w:rPr>
        <w:t xml:space="preserve">, Centre for Welfare Reform and Citizens Network for In Control Scotland, p. 32. Available at: </w:t>
      </w:r>
      <w:hyperlink r:id="rId1" w:history="1">
        <w:r w:rsidRPr="00E22174">
          <w:rPr>
            <w:rStyle w:val="Hyperlink"/>
            <w:rFonts w:cstheme="minorHAnsi"/>
            <w:bCs/>
          </w:rPr>
          <w:t>https://www.in-controlscotland.org/_files/ugd/fd9368_1da0f2f772514ad9b5bac06e5263277b.pdf</w:t>
        </w:r>
      </w:hyperlink>
      <w:r w:rsidRPr="00E22174">
        <w:rPr>
          <w:rFonts w:cstheme="minorHAnsi"/>
          <w:bCs/>
        </w:rPr>
        <w:t xml:space="preserve"> </w:t>
      </w:r>
    </w:p>
  </w:endnote>
  <w:endnote w:id="10">
    <w:p w14:paraId="10758211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 xml:space="preserve">Sanderson, Helen; Bennett, Sam; Stockton Simon and Lewis, Jaime (2012). Choice and Control for All: The role of Individual Service Funds in delivering fully personalised care and support, Groundswell, p. 8. </w:t>
      </w:r>
    </w:p>
  </w:endnote>
  <w:endnote w:id="11">
    <w:p w14:paraId="070B7A41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 xml:space="preserve">Skills for Care (2020). Supporting and developing the workforce for Individual Service Funds: Making self-directed support work, London: Skills for Care. </w:t>
      </w:r>
    </w:p>
  </w:endnote>
  <w:endnote w:id="12">
    <w:p w14:paraId="0658DCA9" w14:textId="4596799B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Citizen Directed Co-operatives Cymru. (2018). Direct Payments and a Disabled People’s Co-operative Model: A Toolkit</w:t>
      </w:r>
      <w:r w:rsidR="0096385E" w:rsidRPr="00E22174">
        <w:rPr>
          <w:rFonts w:cstheme="minorHAnsi"/>
          <w:sz w:val="22"/>
          <w:szCs w:val="22"/>
        </w:rPr>
        <w:t xml:space="preserve">. </w:t>
      </w:r>
    </w:p>
  </w:endnote>
  <w:endnote w:id="13">
    <w:p w14:paraId="4B80B41E" w14:textId="3EEDB042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</w:t>
      </w:r>
      <w:proofErr w:type="spellStart"/>
      <w:r w:rsidR="002765A4" w:rsidRPr="00E22174">
        <w:rPr>
          <w:rFonts w:cstheme="minorHAnsi"/>
          <w:sz w:val="22"/>
          <w:szCs w:val="22"/>
        </w:rPr>
        <w:t>Roulstone</w:t>
      </w:r>
      <w:proofErr w:type="spellEnd"/>
      <w:r w:rsidR="002765A4" w:rsidRPr="00E22174">
        <w:rPr>
          <w:rFonts w:cstheme="minorHAnsi"/>
          <w:sz w:val="22"/>
          <w:szCs w:val="22"/>
        </w:rPr>
        <w:t>, A., &amp; Hwang, S. K. (2013). Co-operation and Co-operatives in the Development of Direct Payment Schemes in Wales., Northumbria University: Northumbria.</w:t>
      </w:r>
    </w:p>
    <w:p w14:paraId="5532365F" w14:textId="1506C64E" w:rsidR="002765A4" w:rsidRPr="00E22174" w:rsidRDefault="002765A4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sz w:val="22"/>
          <w:szCs w:val="22"/>
        </w:rPr>
        <w:t>Glasby, J., &amp; Taylor, M. (2006) It’s all at the Co-ops, Community Care, 2</w:t>
      </w:r>
      <w:r w:rsidRPr="00E22174">
        <w:rPr>
          <w:sz w:val="22"/>
          <w:szCs w:val="22"/>
          <w:vertAlign w:val="superscript"/>
        </w:rPr>
        <w:t>nd</w:t>
      </w:r>
      <w:r w:rsidRPr="00E22174">
        <w:rPr>
          <w:sz w:val="22"/>
          <w:szCs w:val="22"/>
        </w:rPr>
        <w:t xml:space="preserve"> February, pp34-35. </w:t>
      </w:r>
      <w:hyperlink r:id="rId2" w:history="1">
        <w:r w:rsidRPr="00E22174">
          <w:rPr>
            <w:rStyle w:val="Hyperlink"/>
            <w:sz w:val="22"/>
            <w:szCs w:val="22"/>
          </w:rPr>
          <w:t>https://www.communitycare.co.uk/2006/02/02/its-all-at-the-co-op/</w:t>
        </w:r>
      </w:hyperlink>
    </w:p>
  </w:endnote>
  <w:endnote w:id="14">
    <w:p w14:paraId="3EA18A60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>Skills for Care (2020). Supporting and developing the workforce for Individual Service Funds: Making self-directed support work, London: Skills for Care.</w:t>
      </w:r>
    </w:p>
  </w:endnote>
  <w:endnote w:id="15">
    <w:p w14:paraId="56464C21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Thistle Foundation. (2015). I would never have believed… Learning from the Individual Service Fund pilot 2014, Edinburgh: Thistle Foundation, p. 1. </w:t>
      </w:r>
    </w:p>
  </w:endnote>
  <w:endnote w:id="16">
    <w:p w14:paraId="61E38439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>Skills for Care (2020). Supporting and developing the workforce for Individual Service Funds: Making self-directed support work, London: Skills for Care.</w:t>
      </w:r>
    </w:p>
  </w:endnote>
  <w:endnote w:id="17">
    <w:p w14:paraId="705470AC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>Skills for Care (2020). Supporting and developing the workforce for Individual Service Funds: Making self-directed support work, London: Skills for Care.</w:t>
      </w:r>
    </w:p>
  </w:endnote>
  <w:endnote w:id="18">
    <w:p w14:paraId="1C3D94B4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 xml:space="preserve">Smith, Sam. and Brown, Frances. (2018) </w:t>
      </w:r>
      <w:r w:rsidRPr="00E22174">
        <w:rPr>
          <w:rFonts w:cstheme="minorHAnsi"/>
          <w:bCs/>
          <w:i/>
        </w:rPr>
        <w:t>Individual Service Funds: a guide to making Self-Directed Support work for everyone</w:t>
      </w:r>
      <w:r w:rsidRPr="00E22174">
        <w:rPr>
          <w:rFonts w:cstheme="minorHAnsi"/>
          <w:bCs/>
        </w:rPr>
        <w:t xml:space="preserve">, Centre for Welfare Reform and Citizens Network for In Control Scotland, p. 32. Available at: </w:t>
      </w:r>
      <w:hyperlink r:id="rId3" w:history="1">
        <w:r w:rsidRPr="00E22174">
          <w:rPr>
            <w:rStyle w:val="Hyperlink"/>
            <w:rFonts w:cstheme="minorHAnsi"/>
            <w:bCs/>
          </w:rPr>
          <w:t>https://www.in-controlscotland.org/_files/ugd/fd9368_1da0f2f772514ad9b5bac06e5263277b.pdf</w:t>
        </w:r>
      </w:hyperlink>
      <w:r w:rsidRPr="00E22174">
        <w:rPr>
          <w:rFonts w:cstheme="minorHAnsi"/>
          <w:bCs/>
        </w:rPr>
        <w:t xml:space="preserve"> </w:t>
      </w:r>
    </w:p>
  </w:endnote>
  <w:endnote w:id="19">
    <w:p w14:paraId="72735AE3" w14:textId="77777777" w:rsidR="007C50C9" w:rsidRPr="00E22174" w:rsidRDefault="007C50C9" w:rsidP="00E22174">
      <w:pPr>
        <w:spacing w:after="0"/>
        <w:rPr>
          <w:rFonts w:cstheme="minorHAnsi"/>
          <w:lang w:val="en-US"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>Skills for Care (2020). Supporting and developing the workforce for Individual Service Funds: Making self-directed support work, London: Skills for Care.</w:t>
      </w:r>
    </w:p>
  </w:endnote>
  <w:endnote w:id="20">
    <w:p w14:paraId="1E6137B4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Watson, C. (2020). Meeting urgent demand with new models of care and individual service funds- Discussion Paper, IPC: Oxford.</w:t>
      </w:r>
    </w:p>
  </w:endnote>
  <w:endnote w:id="21">
    <w:p w14:paraId="06875062" w14:textId="77777777" w:rsidR="007C50C9" w:rsidRPr="00E22174" w:rsidRDefault="007C50C9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Watson, Chris. (2021). Personalising Commissioning: An Overview of Individual Service Funds in England- Discussion Paper. IPC: Oxford.</w:t>
      </w:r>
    </w:p>
  </w:endnote>
  <w:endnote w:id="22">
    <w:p w14:paraId="424276AA" w14:textId="0708491B" w:rsidR="007C50C9" w:rsidRPr="00E22174" w:rsidRDefault="007C50C9" w:rsidP="00E22174">
      <w:pPr>
        <w:pStyle w:val="EndnoteText"/>
        <w:rPr>
          <w:rFonts w:cstheme="minorHAnsi"/>
          <w:sz w:val="22"/>
          <w:szCs w:val="22"/>
          <w:lang w:val="en-US"/>
        </w:rPr>
      </w:pPr>
      <w:r w:rsidRPr="00E22174">
        <w:rPr>
          <w:rStyle w:val="EndnoteReference"/>
          <w:rFonts w:cstheme="minorHAnsi"/>
          <w:sz w:val="22"/>
          <w:szCs w:val="22"/>
        </w:rPr>
        <w:endnoteRef/>
      </w:r>
      <w:r w:rsidRPr="00E22174">
        <w:rPr>
          <w:rFonts w:cstheme="minorHAnsi"/>
          <w:sz w:val="22"/>
          <w:szCs w:val="22"/>
        </w:rPr>
        <w:t xml:space="preserve"> </w:t>
      </w:r>
      <w:r w:rsidRPr="00E22174">
        <w:rPr>
          <w:rFonts w:cstheme="minorHAnsi"/>
          <w:bCs/>
          <w:sz w:val="22"/>
          <w:szCs w:val="22"/>
        </w:rPr>
        <w:t xml:space="preserve">Skills for Care (2020). Supporting and developing the workforce for Individual Service Funds: Making self-directed support work, London: Skills for Care. </w:t>
      </w:r>
    </w:p>
  </w:endnote>
  <w:endnote w:id="23">
    <w:p w14:paraId="55C7503F" w14:textId="77777777" w:rsidR="00FA11F3" w:rsidRPr="00E22174" w:rsidRDefault="007C50C9" w:rsidP="00E22174">
      <w:pPr>
        <w:spacing w:after="0"/>
        <w:rPr>
          <w:rFonts w:cstheme="minorHAnsi"/>
          <w:bCs/>
        </w:rPr>
      </w:pPr>
      <w:r w:rsidRPr="00E22174">
        <w:rPr>
          <w:rStyle w:val="EndnoteReference"/>
          <w:rFonts w:cstheme="minorHAnsi"/>
        </w:rPr>
        <w:endnoteRef/>
      </w:r>
      <w:r w:rsidRPr="00E22174">
        <w:rPr>
          <w:rFonts w:cstheme="minorHAnsi"/>
        </w:rPr>
        <w:t xml:space="preserve"> </w:t>
      </w:r>
      <w:r w:rsidRPr="00E22174">
        <w:rPr>
          <w:rFonts w:cstheme="minorHAnsi"/>
          <w:bCs/>
        </w:rPr>
        <w:t xml:space="preserve">Watson, Chris. (2021). Personalising Commissioning: An Overview of Individual Service Funds in England- Discussion Paper. IPC: Oxford, p. 4. </w:t>
      </w:r>
    </w:p>
    <w:p w14:paraId="7F68F267" w14:textId="2617C6F4" w:rsidR="007C50C9" w:rsidRPr="00E22174" w:rsidRDefault="00FA11F3" w:rsidP="00E22174">
      <w:pPr>
        <w:spacing w:after="0"/>
        <w:rPr>
          <w:rFonts w:cstheme="minorHAnsi"/>
        </w:rPr>
      </w:pPr>
      <w:r w:rsidRPr="00E22174">
        <w:rPr>
          <w:rFonts w:cstheme="minorHAnsi"/>
        </w:rPr>
        <w:t>Thistle Foundation. (2015). I would never have believed… Learning from the Individual Service Fund pilot 2014, Edinburgh: Thistle Foundation.</w:t>
      </w:r>
    </w:p>
    <w:p w14:paraId="79384A04" w14:textId="4256F5DC" w:rsidR="00FA11F3" w:rsidRPr="00E22174" w:rsidRDefault="00FA11F3" w:rsidP="00E22174">
      <w:pPr>
        <w:spacing w:after="0"/>
        <w:rPr>
          <w:rFonts w:cstheme="minorHAnsi"/>
          <w:lang w:val="en-US"/>
        </w:rPr>
      </w:pPr>
      <w:r w:rsidRPr="00E22174">
        <w:rPr>
          <w:rFonts w:cstheme="minorHAnsi"/>
          <w:lang w:val="en-US"/>
        </w:rPr>
        <w:t xml:space="preserve">Miller, R., &amp; Sanderson, H. (2014). The Individual Service Funds Handbook: Implementing Personal Budgets in Provider </w:t>
      </w:r>
      <w:proofErr w:type="spellStart"/>
      <w:r w:rsidRPr="00E22174">
        <w:rPr>
          <w:rFonts w:cstheme="minorHAnsi"/>
          <w:lang w:val="en-US"/>
        </w:rPr>
        <w:t>Organisations</w:t>
      </w:r>
      <w:proofErr w:type="spellEnd"/>
      <w:r w:rsidRPr="00E22174">
        <w:rPr>
          <w:rFonts w:cstheme="minorHAnsi"/>
          <w:lang w:val="en-US"/>
        </w:rPr>
        <w:t>. Jessica Kingsley Publishers.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8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649F5" w14:textId="3451FA30" w:rsidR="00BF31C4" w:rsidRDefault="00BF31C4" w:rsidP="00526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CE0B9" w14:textId="77777777" w:rsidR="00BF31C4" w:rsidRDefault="00BF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754B" w14:textId="77777777" w:rsidR="0063661C" w:rsidRDefault="0063661C" w:rsidP="00426DE3">
      <w:pPr>
        <w:spacing w:after="0" w:line="240" w:lineRule="auto"/>
      </w:pPr>
      <w:r>
        <w:separator/>
      </w:r>
    </w:p>
  </w:footnote>
  <w:footnote w:type="continuationSeparator" w:id="0">
    <w:p w14:paraId="0FD8153E" w14:textId="77777777" w:rsidR="0063661C" w:rsidRDefault="0063661C" w:rsidP="0042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F1A2" w14:textId="77777777" w:rsidR="00526141" w:rsidRPr="00522398" w:rsidRDefault="00526141" w:rsidP="00526141">
    <w:pPr>
      <w:pStyle w:val="Header"/>
      <w:rPr>
        <w:color w:val="A84D98"/>
      </w:rPr>
    </w:pPr>
    <w:r w:rsidRPr="00522398">
      <w:rPr>
        <w:noProof/>
        <w:color w:val="A84D98"/>
      </w:rPr>
      <w:drawing>
        <wp:anchor distT="0" distB="0" distL="114300" distR="114300" simplePos="0" relativeHeight="251659264" behindDoc="0" locked="0" layoutInCell="1" allowOverlap="1" wp14:anchorId="13597FE8" wp14:editId="6B8CA83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14450" cy="534636"/>
          <wp:effectExtent l="0" t="0" r="0" b="0"/>
          <wp:wrapNone/>
          <wp:docPr id="1432141306" name="Picture 1432141306" descr="A close-up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398">
      <w:rPr>
        <w:color w:val="A84D98"/>
      </w:rPr>
      <w:t xml:space="preserve">“Good support isn’t just </w:t>
    </w:r>
    <w:proofErr w:type="gramStart"/>
    <w:r w:rsidRPr="00522398">
      <w:rPr>
        <w:color w:val="A84D98"/>
      </w:rPr>
      <w:t>about</w:t>
    </w:r>
    <w:proofErr w:type="gramEnd"/>
    <w:r w:rsidRPr="00522398">
      <w:rPr>
        <w:color w:val="A84D98"/>
      </w:rPr>
      <w:t xml:space="preserve"> </w:t>
    </w:r>
  </w:p>
  <w:p w14:paraId="7FF5CA29" w14:textId="77777777" w:rsidR="00526141" w:rsidRDefault="00526141" w:rsidP="00526141">
    <w:pPr>
      <w:pStyle w:val="Header"/>
    </w:pPr>
    <w:r w:rsidRPr="00522398">
      <w:rPr>
        <w:color w:val="A84D98"/>
      </w:rPr>
      <w:t>‘services’ – it’s about having a life.”</w:t>
    </w:r>
  </w:p>
  <w:p w14:paraId="02014B1C" w14:textId="54483CC3" w:rsidR="00400411" w:rsidRDefault="0040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38E"/>
    <w:multiLevelType w:val="hybridMultilevel"/>
    <w:tmpl w:val="11543920"/>
    <w:lvl w:ilvl="0" w:tplc="4EA6A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023F76"/>
    <w:multiLevelType w:val="hybridMultilevel"/>
    <w:tmpl w:val="C6D6A7FA"/>
    <w:lvl w:ilvl="0" w:tplc="DB165B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0884"/>
    <w:multiLevelType w:val="hybridMultilevel"/>
    <w:tmpl w:val="D700CB82"/>
    <w:lvl w:ilvl="0" w:tplc="DB165B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4EA6AE0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F17A79C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800F7"/>
    <w:multiLevelType w:val="hybridMultilevel"/>
    <w:tmpl w:val="5644DFD2"/>
    <w:lvl w:ilvl="0" w:tplc="0C88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C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6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14C6F"/>
    <w:multiLevelType w:val="hybridMultilevel"/>
    <w:tmpl w:val="FEC450D2"/>
    <w:lvl w:ilvl="0" w:tplc="DB165B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4598"/>
    <w:multiLevelType w:val="hybridMultilevel"/>
    <w:tmpl w:val="CB3AECFC"/>
    <w:lvl w:ilvl="0" w:tplc="DB165B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DB165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90BFD"/>
    <w:multiLevelType w:val="hybridMultilevel"/>
    <w:tmpl w:val="E6C4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4EDF"/>
    <w:multiLevelType w:val="hybridMultilevel"/>
    <w:tmpl w:val="646CE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E32"/>
    <w:multiLevelType w:val="hybridMultilevel"/>
    <w:tmpl w:val="317CE2BA"/>
    <w:lvl w:ilvl="0" w:tplc="4EA6A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0273988"/>
    <w:multiLevelType w:val="hybridMultilevel"/>
    <w:tmpl w:val="C53C48EA"/>
    <w:lvl w:ilvl="0" w:tplc="9F12F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9FE"/>
    <w:multiLevelType w:val="hybridMultilevel"/>
    <w:tmpl w:val="9A925810"/>
    <w:lvl w:ilvl="0" w:tplc="4EA6A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5C9481D"/>
    <w:multiLevelType w:val="hybridMultilevel"/>
    <w:tmpl w:val="33D00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6647E"/>
    <w:multiLevelType w:val="hybridMultilevel"/>
    <w:tmpl w:val="0FAA5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921471"/>
    <w:multiLevelType w:val="hybridMultilevel"/>
    <w:tmpl w:val="ADF2A2AA"/>
    <w:lvl w:ilvl="0" w:tplc="0382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E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4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A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2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C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B65230"/>
    <w:multiLevelType w:val="hybridMultilevel"/>
    <w:tmpl w:val="85EC5350"/>
    <w:lvl w:ilvl="0" w:tplc="8DA2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E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2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AC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5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3613779">
    <w:abstractNumId w:val="9"/>
  </w:num>
  <w:num w:numId="2" w16cid:durableId="1125200980">
    <w:abstractNumId w:val="11"/>
  </w:num>
  <w:num w:numId="3" w16cid:durableId="1991447226">
    <w:abstractNumId w:val="2"/>
  </w:num>
  <w:num w:numId="4" w16cid:durableId="2091197167">
    <w:abstractNumId w:val="10"/>
  </w:num>
  <w:num w:numId="5" w16cid:durableId="1654138465">
    <w:abstractNumId w:val="8"/>
  </w:num>
  <w:num w:numId="6" w16cid:durableId="1259212127">
    <w:abstractNumId w:val="0"/>
  </w:num>
  <w:num w:numId="7" w16cid:durableId="163058523">
    <w:abstractNumId w:val="7"/>
  </w:num>
  <w:num w:numId="8" w16cid:durableId="1817915193">
    <w:abstractNumId w:val="6"/>
  </w:num>
  <w:num w:numId="9" w16cid:durableId="1775593595">
    <w:abstractNumId w:val="13"/>
  </w:num>
  <w:num w:numId="10" w16cid:durableId="229966609">
    <w:abstractNumId w:val="14"/>
  </w:num>
  <w:num w:numId="11" w16cid:durableId="13117543">
    <w:abstractNumId w:val="3"/>
  </w:num>
  <w:num w:numId="12" w16cid:durableId="995911242">
    <w:abstractNumId w:val="12"/>
  </w:num>
  <w:num w:numId="13" w16cid:durableId="1941795288">
    <w:abstractNumId w:val="5"/>
  </w:num>
  <w:num w:numId="14" w16cid:durableId="473644916">
    <w:abstractNumId w:val="4"/>
  </w:num>
  <w:num w:numId="15" w16cid:durableId="45228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E3"/>
    <w:rsid w:val="00016727"/>
    <w:rsid w:val="000476C4"/>
    <w:rsid w:val="00066CC2"/>
    <w:rsid w:val="000737BB"/>
    <w:rsid w:val="000B58A8"/>
    <w:rsid w:val="00102495"/>
    <w:rsid w:val="0010281A"/>
    <w:rsid w:val="001034F3"/>
    <w:rsid w:val="001044C9"/>
    <w:rsid w:val="00115296"/>
    <w:rsid w:val="001B4F36"/>
    <w:rsid w:val="0023147D"/>
    <w:rsid w:val="002765A4"/>
    <w:rsid w:val="002C7469"/>
    <w:rsid w:val="00320C59"/>
    <w:rsid w:val="00331381"/>
    <w:rsid w:val="00334362"/>
    <w:rsid w:val="003718E3"/>
    <w:rsid w:val="00395AAA"/>
    <w:rsid w:val="003B60EA"/>
    <w:rsid w:val="003B62D2"/>
    <w:rsid w:val="00400411"/>
    <w:rsid w:val="004075AD"/>
    <w:rsid w:val="004108FE"/>
    <w:rsid w:val="00426DE3"/>
    <w:rsid w:val="00431854"/>
    <w:rsid w:val="00432B34"/>
    <w:rsid w:val="00436A9A"/>
    <w:rsid w:val="00442890"/>
    <w:rsid w:val="00477FBC"/>
    <w:rsid w:val="00495B6E"/>
    <w:rsid w:val="004C2FD2"/>
    <w:rsid w:val="005248D2"/>
    <w:rsid w:val="00526141"/>
    <w:rsid w:val="0054690D"/>
    <w:rsid w:val="00574E85"/>
    <w:rsid w:val="0063661C"/>
    <w:rsid w:val="00690FD5"/>
    <w:rsid w:val="006A7D66"/>
    <w:rsid w:val="006D41A9"/>
    <w:rsid w:val="006D7675"/>
    <w:rsid w:val="0070086A"/>
    <w:rsid w:val="00742430"/>
    <w:rsid w:val="007559C1"/>
    <w:rsid w:val="007564DE"/>
    <w:rsid w:val="007C435E"/>
    <w:rsid w:val="007C50C9"/>
    <w:rsid w:val="007E1AC7"/>
    <w:rsid w:val="00836F08"/>
    <w:rsid w:val="00866A58"/>
    <w:rsid w:val="008753F6"/>
    <w:rsid w:val="0088650F"/>
    <w:rsid w:val="00887F5D"/>
    <w:rsid w:val="008968F6"/>
    <w:rsid w:val="008E20F9"/>
    <w:rsid w:val="009156CD"/>
    <w:rsid w:val="00952EC4"/>
    <w:rsid w:val="009546FB"/>
    <w:rsid w:val="0096385E"/>
    <w:rsid w:val="009B3CA8"/>
    <w:rsid w:val="009C1908"/>
    <w:rsid w:val="00A05610"/>
    <w:rsid w:val="00A07669"/>
    <w:rsid w:val="00A4546C"/>
    <w:rsid w:val="00A47687"/>
    <w:rsid w:val="00A85BF9"/>
    <w:rsid w:val="00A93DDE"/>
    <w:rsid w:val="00AC4D65"/>
    <w:rsid w:val="00AE058D"/>
    <w:rsid w:val="00B0687F"/>
    <w:rsid w:val="00B36501"/>
    <w:rsid w:val="00B505E4"/>
    <w:rsid w:val="00B55AD2"/>
    <w:rsid w:val="00B67750"/>
    <w:rsid w:val="00BD7FFE"/>
    <w:rsid w:val="00BE2E4B"/>
    <w:rsid w:val="00BF31C4"/>
    <w:rsid w:val="00C32011"/>
    <w:rsid w:val="00C378E9"/>
    <w:rsid w:val="00C618B4"/>
    <w:rsid w:val="00C666B1"/>
    <w:rsid w:val="00C82EA2"/>
    <w:rsid w:val="00CB61F0"/>
    <w:rsid w:val="00CE0103"/>
    <w:rsid w:val="00CE212D"/>
    <w:rsid w:val="00D23131"/>
    <w:rsid w:val="00D84FCA"/>
    <w:rsid w:val="00DB67FB"/>
    <w:rsid w:val="00DD2A70"/>
    <w:rsid w:val="00E11114"/>
    <w:rsid w:val="00E14CC0"/>
    <w:rsid w:val="00E1555B"/>
    <w:rsid w:val="00E22174"/>
    <w:rsid w:val="00EF2332"/>
    <w:rsid w:val="00EF69C4"/>
    <w:rsid w:val="00F17EFC"/>
    <w:rsid w:val="00F230AE"/>
    <w:rsid w:val="00F71B00"/>
    <w:rsid w:val="00F77E82"/>
    <w:rsid w:val="00FA11F3"/>
    <w:rsid w:val="00FC6706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CF06E"/>
  <w15:chartTrackingRefBased/>
  <w15:docId w15:val="{ECD58582-E10E-482B-94B2-15FF672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3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87F"/>
    <w:pPr>
      <w:spacing w:after="160" w:line="360" w:lineRule="auto"/>
      <w:outlineLvl w:val="0"/>
    </w:pPr>
    <w:rPr>
      <w:rFonts w:ascii="Arial" w:hAnsi="Arial" w:cs="Arial"/>
      <w:color w:val="A84D98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87F"/>
    <w:pPr>
      <w:spacing w:after="0" w:line="360" w:lineRule="auto"/>
      <w:outlineLvl w:val="1"/>
    </w:pPr>
    <w:rPr>
      <w:rFonts w:ascii="Arial" w:hAnsi="Arial" w:cs="Arial"/>
      <w:b/>
      <w:bCs/>
      <w:color w:val="A84D9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0687F"/>
    <w:pPr>
      <w:spacing w:after="160" w:line="360" w:lineRule="auto"/>
      <w:ind w:left="1440"/>
      <w:outlineLvl w:val="2"/>
    </w:pPr>
    <w:rPr>
      <w:rFonts w:ascii="Arial" w:hAnsi="Arial" w:cs="Arial"/>
      <w:color w:val="A84D9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7F"/>
    <w:rPr>
      <w:rFonts w:ascii="Arial" w:hAnsi="Arial" w:cs="Arial"/>
      <w:color w:val="A84D98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87F"/>
    <w:rPr>
      <w:rFonts w:ascii="Arial" w:hAnsi="Arial" w:cs="Arial"/>
      <w:b/>
      <w:bCs/>
      <w:color w:val="A84D98"/>
    </w:rPr>
  </w:style>
  <w:style w:type="character" w:styleId="Hyperlink">
    <w:name w:val="Hyperlink"/>
    <w:basedOn w:val="DefaultParagraphFont"/>
    <w:uiPriority w:val="99"/>
    <w:unhideWhenUsed/>
    <w:rsid w:val="00426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D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DE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D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C4"/>
  </w:style>
  <w:style w:type="paragraph" w:styleId="Footer">
    <w:name w:val="footer"/>
    <w:basedOn w:val="Normal"/>
    <w:link w:val="FooterChar"/>
    <w:uiPriority w:val="99"/>
    <w:unhideWhenUsed/>
    <w:rsid w:val="00BF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E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0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0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0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221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26141"/>
    <w:pPr>
      <w:spacing w:after="160" w:line="360" w:lineRule="auto"/>
      <w:jc w:val="center"/>
    </w:pPr>
    <w:rPr>
      <w:rFonts w:ascii="Arial" w:hAnsi="Arial" w:cs="Arial"/>
      <w:b/>
      <w:bCs/>
      <w:color w:val="A84D9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26141"/>
    <w:rPr>
      <w:rFonts w:ascii="Arial" w:hAnsi="Arial" w:cs="Arial"/>
      <w:b/>
      <w:bCs/>
      <w:color w:val="A84D9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0687F"/>
    <w:rPr>
      <w:rFonts w:ascii="Arial" w:hAnsi="Arial" w:cs="Arial"/>
      <w:color w:val="A84D98"/>
      <w:sz w:val="24"/>
      <w:szCs w:val="24"/>
    </w:rPr>
  </w:style>
  <w:style w:type="character" w:customStyle="1" w:styleId="Heading3Char1">
    <w:name w:val="Heading 3 Char1"/>
    <w:basedOn w:val="DefaultParagraphFont"/>
    <w:uiPriority w:val="9"/>
    <w:semiHidden/>
    <w:rsid w:val="00B068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3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6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1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4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7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fqcdTirYHk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uuwS-eoTa68" TargetMode="External"/><Relationship Id="rId17" Type="http://schemas.openxmlformats.org/officeDocument/2006/relationships/hyperlink" Target="https://youtu.be/N0D_yRdSAp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VI-E9JxKO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Gv4xmG8jE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lHOyIZLxqms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-controlscotland.org/_files/ugd/fd9368_1da0f2f772514ad9b5bac06e5263277b.pdf" TargetMode="External"/><Relationship Id="rId2" Type="http://schemas.openxmlformats.org/officeDocument/2006/relationships/hyperlink" Target="https://www.communitycare.co.uk/2006/02/02/its-all-at-the-co-op/" TargetMode="External"/><Relationship Id="rId1" Type="http://schemas.openxmlformats.org/officeDocument/2006/relationships/hyperlink" Target="https://www.in-controlscotland.org/_files/ugd/fd9368_1da0f2f772514ad9b5bac06e5263277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92ECB9C8BB40BD245949F5F27665" ma:contentTypeVersion="13" ma:contentTypeDescription="Create a new document." ma:contentTypeScope="" ma:versionID="56bf8097bf252fa9ebc852fc8cc8fd48">
  <xsd:schema xmlns:xsd="http://www.w3.org/2001/XMLSchema" xmlns:xs="http://www.w3.org/2001/XMLSchema" xmlns:p="http://schemas.microsoft.com/office/2006/metadata/properties" xmlns:ns2="5b0f19fc-cbe6-4fd9-95d7-be58ca77e996" xmlns:ns3="a3ddbc84-2f3b-4369-a59e-6495bd422e23" targetNamespace="http://schemas.microsoft.com/office/2006/metadata/properties" ma:root="true" ma:fieldsID="ff76bf86b65717df316673fddbddb01b" ns2:_="" ns3:_="">
    <xsd:import namespace="5b0f19fc-cbe6-4fd9-95d7-be58ca77e996"/>
    <xsd:import namespace="a3ddbc84-2f3b-4369-a59e-6495bd422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19fc-cbe6-4fd9-95d7-be58ca77e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dbc84-2f3b-4369-a59e-6495bd422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f19fc-cbe6-4fd9-95d7-be58ca77e9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60C73-854F-48F8-83A6-E35653C80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5EDC0-AC50-4C1D-AC7E-1B216C911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698B5-B786-4830-A31B-D679D20E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19fc-cbe6-4fd9-95d7-be58ca77e996"/>
    <ds:schemaRef ds:uri="a3ddbc84-2f3b-4369-a59e-6495bd422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C0FFB-F904-4989-B7EB-A1C40D60BB07}">
  <ds:schemaRefs>
    <ds:schemaRef ds:uri="http://schemas.microsoft.com/office/2006/metadata/properties"/>
    <ds:schemaRef ds:uri="http://schemas.microsoft.com/office/infopath/2007/PartnerControls"/>
    <ds:schemaRef ds:uri="5b0f19fc-cbe6-4fd9-95d7-be58ca77e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1468</Words>
  <Characters>7752</Characters>
  <Application>Microsoft Office Word</Application>
  <DocSecurity>0</DocSecurity>
  <Lines>408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Hamblin</dc:creator>
  <cp:keywords/>
  <dc:description/>
  <cp:lastModifiedBy>Munpreet Sohal (Social Work and Social Care)</cp:lastModifiedBy>
  <cp:revision>4</cp:revision>
  <dcterms:created xsi:type="dcterms:W3CDTF">2023-07-21T09:26:00Z</dcterms:created>
  <dcterms:modified xsi:type="dcterms:W3CDTF">2023-09-19T08:47:00Z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0x010100863192ECB9C8BB40BD245949F5F27665</vt:lpwstr>
  </property>
</Properties>
</file>